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B1C1" w14:textId="27E43D97" w:rsidR="0098055F" w:rsidRDefault="0098055F" w:rsidP="00516ECF">
      <w:pPr>
        <w:pStyle w:val="Heading4"/>
        <w:numPr>
          <w:ilvl w:val="0"/>
          <w:numId w:val="0"/>
        </w:numPr>
        <w:spacing w:before="120" w:after="120"/>
        <w:rPr>
          <w:rFonts w:cs="Arial"/>
          <w:color w:val="FF0000"/>
          <w:szCs w:val="20"/>
        </w:rPr>
      </w:pPr>
    </w:p>
    <w:p w14:paraId="7A1B8E69" w14:textId="77BF672D" w:rsidR="00F4494B" w:rsidRDefault="00F4494B" w:rsidP="00516ECF">
      <w:pPr>
        <w:pStyle w:val="Heading4"/>
        <w:numPr>
          <w:ilvl w:val="0"/>
          <w:numId w:val="0"/>
        </w:numPr>
        <w:spacing w:before="120" w:after="120"/>
        <w:rPr>
          <w:rFonts w:cs="Arial"/>
          <w:color w:val="FF0000"/>
          <w:szCs w:val="20"/>
        </w:rPr>
      </w:pPr>
    </w:p>
    <w:p w14:paraId="631304D5" w14:textId="6BAD443B" w:rsidR="00F4494B" w:rsidRDefault="00F4494B" w:rsidP="00516ECF">
      <w:pPr>
        <w:pStyle w:val="Heading4"/>
        <w:numPr>
          <w:ilvl w:val="0"/>
          <w:numId w:val="0"/>
        </w:numPr>
        <w:spacing w:before="120" w:after="120"/>
        <w:rPr>
          <w:rFonts w:cs="Arial"/>
          <w:color w:val="FF0000"/>
          <w:szCs w:val="20"/>
        </w:rPr>
      </w:pPr>
    </w:p>
    <w:p w14:paraId="711F7801" w14:textId="5F4B9FD8" w:rsidR="00F4494B" w:rsidRDefault="00F4494B" w:rsidP="00516ECF">
      <w:pPr>
        <w:pStyle w:val="Heading4"/>
        <w:numPr>
          <w:ilvl w:val="0"/>
          <w:numId w:val="0"/>
        </w:numPr>
        <w:spacing w:before="120" w:after="120"/>
        <w:rPr>
          <w:rFonts w:cs="Arial"/>
          <w:color w:val="FF0000"/>
          <w:szCs w:val="20"/>
        </w:rPr>
      </w:pPr>
    </w:p>
    <w:p w14:paraId="73400771" w14:textId="7A6A826B" w:rsidR="00F4494B" w:rsidRDefault="00F4494B" w:rsidP="00516ECF">
      <w:pPr>
        <w:pStyle w:val="Heading4"/>
        <w:numPr>
          <w:ilvl w:val="0"/>
          <w:numId w:val="0"/>
        </w:numPr>
        <w:spacing w:before="120" w:after="120"/>
        <w:rPr>
          <w:rFonts w:cs="Arial"/>
          <w:color w:val="FF0000"/>
          <w:szCs w:val="20"/>
        </w:rPr>
      </w:pPr>
    </w:p>
    <w:p w14:paraId="631A3330" w14:textId="04E6165F" w:rsidR="00F4494B" w:rsidRDefault="00FD05AD" w:rsidP="00516ECF">
      <w:pPr>
        <w:pStyle w:val="Heading4"/>
        <w:numPr>
          <w:ilvl w:val="0"/>
          <w:numId w:val="0"/>
        </w:numPr>
        <w:spacing w:before="120" w:after="120"/>
        <w:rPr>
          <w:rFonts w:cs="Arial"/>
          <w:color w:val="FF0000"/>
          <w:szCs w:val="20"/>
        </w:rPr>
      </w:pPr>
      <w:r w:rsidRPr="0079417F">
        <w:rPr>
          <w:noProof/>
          <w:lang w:eastAsia="en-GB"/>
        </w:rPr>
        <mc:AlternateContent>
          <mc:Choice Requires="wps">
            <w:drawing>
              <wp:anchor distT="0" distB="0" distL="114300" distR="114300" simplePos="0" relativeHeight="251659264" behindDoc="0" locked="0" layoutInCell="1" allowOverlap="1" wp14:anchorId="546D921A" wp14:editId="67ED9852">
                <wp:simplePos x="0" y="0"/>
                <wp:positionH relativeFrom="margin">
                  <wp:posOffset>876300</wp:posOffset>
                </wp:positionH>
                <wp:positionV relativeFrom="page">
                  <wp:posOffset>2286000</wp:posOffset>
                </wp:positionV>
                <wp:extent cx="4196080" cy="3590925"/>
                <wp:effectExtent l="0" t="0" r="0" b="9525"/>
                <wp:wrapNone/>
                <wp:docPr id="1" name="tagcoverpanel 1" descr="tagcoverpan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359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198B" w14:textId="43B6F3EA" w:rsidR="00FD05AD" w:rsidRDefault="00FF0312" w:rsidP="00AF7BD7">
                            <w:pPr>
                              <w:pStyle w:val="CompanyName"/>
                              <w:rPr>
                                <w:color w:val="7030A0"/>
                              </w:rPr>
                            </w:pPr>
                            <w:r w:rsidRPr="00FF0312">
                              <w:rPr>
                                <w:rFonts w:ascii="Arial" w:hAnsi="Arial"/>
                                <w:color w:val="auto"/>
                                <w:sz w:val="32"/>
                              </w:rPr>
                              <w:t xml:space="preserve">Midcounties Co-operative Pension Scheme </w:t>
                            </w:r>
                            <w:r w:rsidR="00AF7BD7" w:rsidRPr="00EA0D3D">
                              <w:rPr>
                                <w:color w:val="7030A0"/>
                              </w:rPr>
                              <w:t xml:space="preserve">Annual Implementation Statement – </w:t>
                            </w:r>
                            <w:r w:rsidR="005D5187">
                              <w:rPr>
                                <w:color w:val="7030A0"/>
                              </w:rPr>
                              <w:t>scheme</w:t>
                            </w:r>
                            <w:r w:rsidR="00AF7BD7" w:rsidRPr="00EA0D3D">
                              <w:rPr>
                                <w:color w:val="7030A0"/>
                              </w:rPr>
                              <w:t xml:space="preserve"> year ending </w:t>
                            </w:r>
                            <w:r w:rsidR="00B312C3">
                              <w:rPr>
                                <w:color w:val="7030A0"/>
                              </w:rPr>
                              <w:t>31</w:t>
                            </w:r>
                            <w:r w:rsidR="00AF7BD7" w:rsidRPr="00EA0D3D">
                              <w:rPr>
                                <w:color w:val="7030A0"/>
                              </w:rPr>
                              <w:t xml:space="preserve"> </w:t>
                            </w:r>
                            <w:r w:rsidR="00B312C3">
                              <w:rPr>
                                <w:color w:val="7030A0"/>
                              </w:rPr>
                              <w:t>December</w:t>
                            </w:r>
                            <w:r w:rsidR="00604948" w:rsidRPr="00EA0D3D">
                              <w:rPr>
                                <w:color w:val="7030A0"/>
                              </w:rPr>
                              <w:t xml:space="preserve"> </w:t>
                            </w:r>
                            <w:r w:rsidR="00AF7BD7" w:rsidRPr="00EA0D3D">
                              <w:rPr>
                                <w:color w:val="7030A0"/>
                              </w:rPr>
                              <w:t>2020</w:t>
                            </w:r>
                          </w:p>
                          <w:p w14:paraId="077A4713" w14:textId="7905623D" w:rsidR="00FD05AD" w:rsidRDefault="00FD05AD" w:rsidP="00AF7BD7">
                            <w:pPr>
                              <w:pStyle w:val="CompanyName"/>
                              <w:rPr>
                                <w:color w:val="7030A0"/>
                              </w:rPr>
                            </w:pPr>
                          </w:p>
                          <w:p w14:paraId="5E96C328" w14:textId="443B8E8A" w:rsidR="00FD05AD" w:rsidRPr="008572F5" w:rsidRDefault="00582F06" w:rsidP="00AF7BD7">
                            <w:pPr>
                              <w:pStyle w:val="CompanyName"/>
                              <w:rPr>
                                <w:color w:val="FF0000"/>
                              </w:rPr>
                            </w:pPr>
                            <w:r>
                              <w:rPr>
                                <w:color w:val="FF0000"/>
                              </w:rPr>
                              <w:t xml:space="preserve"> </w:t>
                            </w:r>
                          </w:p>
                          <w:p w14:paraId="37A4B107" w14:textId="19F1800C" w:rsidR="00AF7BD7" w:rsidRPr="000C7848" w:rsidRDefault="00AF7BD7" w:rsidP="00AF7BD7">
                            <w:pPr>
                              <w:pStyle w:val="ReportDate"/>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D921A" id="_x0000_t202" coordsize="21600,21600" o:spt="202" path="m,l,21600r21600,l21600,xe">
                <v:stroke joinstyle="miter"/>
                <v:path gradientshapeok="t" o:connecttype="rect"/>
              </v:shapetype>
              <v:shape id="tagcoverpanel 1" o:spid="_x0000_s1026" type="#_x0000_t202" alt="tagcoverpanel" style="position:absolute;margin-left:69pt;margin-top:180pt;width:330.4pt;height:28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" filled="f" stroked="f">
                <v:textbox inset="1mm,1mm,1mm,1mm">
                  <w:txbxContent>
                    <w:p w14:paraId="030D198B" w14:textId="43B6F3EA" w:rsidR="00FD05AD" w:rsidRDefault="00FF0312" w:rsidP="00AF7BD7">
                      <w:pPr>
                        <w:pStyle w:val="CompanyName"/>
                        <w:rPr>
                          <w:color w:val="7030A0"/>
                        </w:rPr>
                      </w:pPr>
                      <w:r w:rsidRPr="00FF0312">
                        <w:rPr>
                          <w:rFonts w:ascii="Arial" w:hAnsi="Arial"/>
                          <w:color w:val="auto"/>
                          <w:sz w:val="32"/>
                        </w:rPr>
                        <w:t xml:space="preserve">Midcounties Co-operative Pension Scheme </w:t>
                      </w:r>
                      <w:r w:rsidR="00AF7BD7" w:rsidRPr="00EA0D3D">
                        <w:rPr>
                          <w:color w:val="7030A0"/>
                        </w:rPr>
                        <w:t xml:space="preserve">Annual Implementation Statement – </w:t>
                      </w:r>
                      <w:r w:rsidR="005D5187">
                        <w:rPr>
                          <w:color w:val="7030A0"/>
                        </w:rPr>
                        <w:t>scheme</w:t>
                      </w:r>
                      <w:r w:rsidR="00AF7BD7" w:rsidRPr="00EA0D3D">
                        <w:rPr>
                          <w:color w:val="7030A0"/>
                        </w:rPr>
                        <w:t xml:space="preserve"> year ending </w:t>
                      </w:r>
                      <w:r w:rsidR="00B312C3">
                        <w:rPr>
                          <w:color w:val="7030A0"/>
                        </w:rPr>
                        <w:t>31</w:t>
                      </w:r>
                      <w:r w:rsidR="00AF7BD7" w:rsidRPr="00EA0D3D">
                        <w:rPr>
                          <w:color w:val="7030A0"/>
                        </w:rPr>
                        <w:t xml:space="preserve"> </w:t>
                      </w:r>
                      <w:r w:rsidR="00B312C3">
                        <w:rPr>
                          <w:color w:val="7030A0"/>
                        </w:rPr>
                        <w:t>December</w:t>
                      </w:r>
                      <w:r w:rsidR="00604948" w:rsidRPr="00EA0D3D">
                        <w:rPr>
                          <w:color w:val="7030A0"/>
                        </w:rPr>
                        <w:t xml:space="preserve"> </w:t>
                      </w:r>
                      <w:r w:rsidR="00AF7BD7" w:rsidRPr="00EA0D3D">
                        <w:rPr>
                          <w:color w:val="7030A0"/>
                        </w:rPr>
                        <w:t>2020</w:t>
                      </w:r>
                    </w:p>
                    <w:p w14:paraId="077A4713" w14:textId="7905623D" w:rsidR="00FD05AD" w:rsidRDefault="00FD05AD" w:rsidP="00AF7BD7">
                      <w:pPr>
                        <w:pStyle w:val="CompanyName"/>
                        <w:rPr>
                          <w:color w:val="7030A0"/>
                        </w:rPr>
                      </w:pPr>
                    </w:p>
                    <w:p w14:paraId="5E96C328" w14:textId="443B8E8A" w:rsidR="00FD05AD" w:rsidRPr="008572F5" w:rsidRDefault="00582F06" w:rsidP="00AF7BD7">
                      <w:pPr>
                        <w:pStyle w:val="CompanyName"/>
                        <w:rPr>
                          <w:color w:val="FF0000"/>
                        </w:rPr>
                      </w:pPr>
                      <w:r>
                        <w:rPr>
                          <w:color w:val="FF0000"/>
                        </w:rPr>
                        <w:t xml:space="preserve"> </w:t>
                      </w:r>
                    </w:p>
                    <w:p w14:paraId="37A4B107" w14:textId="19F1800C" w:rsidR="00AF7BD7" w:rsidRPr="000C7848" w:rsidRDefault="00AF7BD7" w:rsidP="00AF7BD7">
                      <w:pPr>
                        <w:pStyle w:val="ReportDate"/>
                      </w:pPr>
                    </w:p>
                  </w:txbxContent>
                </v:textbox>
                <w10:wrap anchorx="margin" anchory="page"/>
              </v:shape>
            </w:pict>
          </mc:Fallback>
        </mc:AlternateContent>
      </w:r>
    </w:p>
    <w:p w14:paraId="20D86CD8" w14:textId="29D46207" w:rsidR="00F4494B" w:rsidRDefault="00F4494B" w:rsidP="00516ECF">
      <w:pPr>
        <w:pStyle w:val="Heading4"/>
        <w:numPr>
          <w:ilvl w:val="0"/>
          <w:numId w:val="0"/>
        </w:numPr>
        <w:spacing w:before="120" w:after="120"/>
        <w:rPr>
          <w:rFonts w:cs="Arial"/>
          <w:color w:val="FF0000"/>
          <w:szCs w:val="20"/>
        </w:rPr>
      </w:pPr>
    </w:p>
    <w:p w14:paraId="53C16BED" w14:textId="3E564494" w:rsidR="00F4494B" w:rsidRDefault="00F4494B" w:rsidP="00516ECF">
      <w:pPr>
        <w:pStyle w:val="Heading4"/>
        <w:numPr>
          <w:ilvl w:val="0"/>
          <w:numId w:val="0"/>
        </w:numPr>
        <w:spacing w:before="120" w:after="120"/>
        <w:rPr>
          <w:rFonts w:cs="Arial"/>
          <w:color w:val="FF0000"/>
          <w:szCs w:val="20"/>
        </w:rPr>
      </w:pPr>
    </w:p>
    <w:p w14:paraId="0E91C7AC" w14:textId="09A5C62A" w:rsidR="00F4494B" w:rsidRDefault="00F4494B" w:rsidP="00516ECF">
      <w:pPr>
        <w:pStyle w:val="Heading4"/>
        <w:numPr>
          <w:ilvl w:val="0"/>
          <w:numId w:val="0"/>
        </w:numPr>
        <w:spacing w:before="120" w:after="120"/>
        <w:rPr>
          <w:rFonts w:cs="Arial"/>
          <w:color w:val="FF0000"/>
          <w:szCs w:val="20"/>
        </w:rPr>
      </w:pPr>
    </w:p>
    <w:p w14:paraId="37AFE0F8" w14:textId="71566E45" w:rsidR="00F4494B" w:rsidRDefault="00F4494B" w:rsidP="00516ECF">
      <w:pPr>
        <w:pStyle w:val="Heading4"/>
        <w:numPr>
          <w:ilvl w:val="0"/>
          <w:numId w:val="0"/>
        </w:numPr>
        <w:spacing w:before="120" w:after="120"/>
        <w:rPr>
          <w:rFonts w:cs="Arial"/>
          <w:color w:val="FF0000"/>
          <w:szCs w:val="20"/>
        </w:rPr>
      </w:pPr>
    </w:p>
    <w:p w14:paraId="1BD147A7" w14:textId="46B68B70" w:rsidR="00F4494B" w:rsidRDefault="00F4494B" w:rsidP="00516ECF">
      <w:pPr>
        <w:pStyle w:val="Heading4"/>
        <w:numPr>
          <w:ilvl w:val="0"/>
          <w:numId w:val="0"/>
        </w:numPr>
        <w:spacing w:before="120" w:after="120"/>
        <w:rPr>
          <w:rFonts w:cs="Arial"/>
          <w:color w:val="FF0000"/>
          <w:szCs w:val="20"/>
        </w:rPr>
      </w:pPr>
    </w:p>
    <w:p w14:paraId="6410233F" w14:textId="5A2526BD" w:rsidR="00F4494B" w:rsidRDefault="00F4494B" w:rsidP="00516ECF">
      <w:pPr>
        <w:pStyle w:val="Heading4"/>
        <w:numPr>
          <w:ilvl w:val="0"/>
          <w:numId w:val="0"/>
        </w:numPr>
        <w:spacing w:before="120" w:after="120"/>
        <w:rPr>
          <w:rFonts w:cs="Arial"/>
          <w:color w:val="FF0000"/>
          <w:szCs w:val="20"/>
        </w:rPr>
      </w:pPr>
    </w:p>
    <w:p w14:paraId="5E4C0E5B" w14:textId="26CF8FE7" w:rsidR="00F4494B" w:rsidRDefault="00F4494B" w:rsidP="00516ECF">
      <w:pPr>
        <w:pStyle w:val="Heading4"/>
        <w:numPr>
          <w:ilvl w:val="0"/>
          <w:numId w:val="0"/>
        </w:numPr>
        <w:spacing w:before="120" w:after="120"/>
        <w:rPr>
          <w:rFonts w:cs="Arial"/>
          <w:color w:val="FF0000"/>
          <w:szCs w:val="20"/>
        </w:rPr>
      </w:pPr>
    </w:p>
    <w:p w14:paraId="03D05867" w14:textId="6ADC25D5" w:rsidR="00F4494B" w:rsidRDefault="00F4494B" w:rsidP="00516ECF">
      <w:pPr>
        <w:pStyle w:val="Heading4"/>
        <w:numPr>
          <w:ilvl w:val="0"/>
          <w:numId w:val="0"/>
        </w:numPr>
        <w:spacing w:before="120" w:after="120"/>
        <w:rPr>
          <w:rFonts w:cs="Arial"/>
          <w:color w:val="FF0000"/>
          <w:szCs w:val="20"/>
        </w:rPr>
      </w:pPr>
    </w:p>
    <w:p w14:paraId="1AA441FC" w14:textId="2A841FB7" w:rsidR="00F4494B" w:rsidRDefault="00F4494B" w:rsidP="00516ECF">
      <w:pPr>
        <w:pStyle w:val="Heading4"/>
        <w:numPr>
          <w:ilvl w:val="0"/>
          <w:numId w:val="0"/>
        </w:numPr>
        <w:spacing w:before="120" w:after="120"/>
        <w:rPr>
          <w:rFonts w:cs="Arial"/>
          <w:color w:val="FF0000"/>
          <w:szCs w:val="20"/>
        </w:rPr>
      </w:pPr>
    </w:p>
    <w:p w14:paraId="25D92F5A" w14:textId="17FA4F2A" w:rsidR="00F4494B" w:rsidRDefault="00F4494B" w:rsidP="00516ECF">
      <w:pPr>
        <w:pStyle w:val="Heading4"/>
        <w:numPr>
          <w:ilvl w:val="0"/>
          <w:numId w:val="0"/>
        </w:numPr>
        <w:spacing w:before="120" w:after="120"/>
        <w:rPr>
          <w:rFonts w:cs="Arial"/>
          <w:color w:val="FF0000"/>
          <w:szCs w:val="20"/>
        </w:rPr>
      </w:pPr>
    </w:p>
    <w:p w14:paraId="78BBABF6" w14:textId="52C0F4ED" w:rsidR="00F4494B" w:rsidRDefault="00F4494B" w:rsidP="00516ECF">
      <w:pPr>
        <w:pStyle w:val="Heading4"/>
        <w:numPr>
          <w:ilvl w:val="0"/>
          <w:numId w:val="0"/>
        </w:numPr>
        <w:spacing w:before="120" w:after="120"/>
        <w:rPr>
          <w:rFonts w:cs="Arial"/>
          <w:color w:val="FF0000"/>
          <w:szCs w:val="20"/>
        </w:rPr>
      </w:pPr>
    </w:p>
    <w:p w14:paraId="4F810BFA" w14:textId="24B55488" w:rsidR="00F4494B" w:rsidRDefault="00F4494B" w:rsidP="00516ECF">
      <w:pPr>
        <w:pStyle w:val="Heading4"/>
        <w:numPr>
          <w:ilvl w:val="0"/>
          <w:numId w:val="0"/>
        </w:numPr>
        <w:spacing w:before="120" w:after="120"/>
        <w:rPr>
          <w:rFonts w:cs="Arial"/>
          <w:color w:val="FF0000"/>
          <w:szCs w:val="20"/>
        </w:rPr>
      </w:pPr>
    </w:p>
    <w:p w14:paraId="5B78AFA9" w14:textId="3FF7C075" w:rsidR="00F4494B" w:rsidRDefault="00F4494B" w:rsidP="00516ECF">
      <w:pPr>
        <w:pStyle w:val="Heading4"/>
        <w:numPr>
          <w:ilvl w:val="0"/>
          <w:numId w:val="0"/>
        </w:numPr>
        <w:spacing w:before="120" w:after="120"/>
        <w:rPr>
          <w:rFonts w:cs="Arial"/>
          <w:color w:val="FF0000"/>
          <w:szCs w:val="20"/>
        </w:rPr>
      </w:pPr>
    </w:p>
    <w:p w14:paraId="1E9F2F15" w14:textId="5BDE05A7" w:rsidR="00F4494B" w:rsidRDefault="00F4494B" w:rsidP="00516ECF">
      <w:pPr>
        <w:pStyle w:val="Heading4"/>
        <w:numPr>
          <w:ilvl w:val="0"/>
          <w:numId w:val="0"/>
        </w:numPr>
        <w:spacing w:before="120" w:after="120"/>
        <w:rPr>
          <w:rFonts w:cs="Arial"/>
          <w:color w:val="FF0000"/>
          <w:szCs w:val="20"/>
        </w:rPr>
      </w:pPr>
    </w:p>
    <w:p w14:paraId="6F8BCD61" w14:textId="6152E9CA" w:rsidR="00F4494B" w:rsidRDefault="00F4494B" w:rsidP="00516ECF">
      <w:pPr>
        <w:pStyle w:val="Heading4"/>
        <w:numPr>
          <w:ilvl w:val="0"/>
          <w:numId w:val="0"/>
        </w:numPr>
        <w:spacing w:before="120" w:after="120"/>
        <w:rPr>
          <w:rFonts w:cs="Arial"/>
          <w:color w:val="FF0000"/>
          <w:szCs w:val="20"/>
        </w:rPr>
      </w:pPr>
    </w:p>
    <w:p w14:paraId="44DFC56C" w14:textId="57A58E4F" w:rsidR="00F4494B" w:rsidRDefault="00F4494B" w:rsidP="00516ECF">
      <w:pPr>
        <w:pStyle w:val="Heading4"/>
        <w:numPr>
          <w:ilvl w:val="0"/>
          <w:numId w:val="0"/>
        </w:numPr>
        <w:spacing w:before="120" w:after="120"/>
        <w:rPr>
          <w:rFonts w:cs="Arial"/>
          <w:color w:val="FF0000"/>
          <w:szCs w:val="20"/>
        </w:rPr>
      </w:pPr>
    </w:p>
    <w:p w14:paraId="055150E2" w14:textId="1B989BF6" w:rsidR="00F4494B" w:rsidRDefault="00F4494B" w:rsidP="00516ECF">
      <w:pPr>
        <w:pStyle w:val="Heading4"/>
        <w:numPr>
          <w:ilvl w:val="0"/>
          <w:numId w:val="0"/>
        </w:numPr>
        <w:spacing w:before="120" w:after="120"/>
        <w:rPr>
          <w:rFonts w:cs="Arial"/>
          <w:color w:val="FF0000"/>
          <w:szCs w:val="20"/>
        </w:rPr>
      </w:pPr>
    </w:p>
    <w:p w14:paraId="48A3E623" w14:textId="52C0A847" w:rsidR="00F4494B" w:rsidRDefault="00F4494B" w:rsidP="00516ECF">
      <w:pPr>
        <w:pStyle w:val="Heading4"/>
        <w:numPr>
          <w:ilvl w:val="0"/>
          <w:numId w:val="0"/>
        </w:numPr>
        <w:spacing w:before="120" w:after="120"/>
        <w:rPr>
          <w:rFonts w:cs="Arial"/>
          <w:color w:val="FF0000"/>
          <w:szCs w:val="20"/>
        </w:rPr>
      </w:pPr>
    </w:p>
    <w:p w14:paraId="44048449" w14:textId="7C53ABD9" w:rsidR="00F4494B" w:rsidRDefault="00F4494B" w:rsidP="00516ECF">
      <w:pPr>
        <w:pStyle w:val="Heading4"/>
        <w:numPr>
          <w:ilvl w:val="0"/>
          <w:numId w:val="0"/>
        </w:numPr>
        <w:spacing w:before="120" w:after="120"/>
        <w:rPr>
          <w:rFonts w:cs="Arial"/>
          <w:color w:val="FF0000"/>
          <w:szCs w:val="20"/>
        </w:rPr>
      </w:pPr>
    </w:p>
    <w:p w14:paraId="30F4A10A" w14:textId="33D2C431" w:rsidR="00F4494B" w:rsidRDefault="00F4494B" w:rsidP="00516ECF">
      <w:pPr>
        <w:pStyle w:val="Heading4"/>
        <w:numPr>
          <w:ilvl w:val="0"/>
          <w:numId w:val="0"/>
        </w:numPr>
        <w:spacing w:before="120" w:after="120"/>
        <w:rPr>
          <w:rFonts w:cs="Arial"/>
          <w:color w:val="FF0000"/>
          <w:szCs w:val="20"/>
        </w:rPr>
      </w:pPr>
    </w:p>
    <w:p w14:paraId="37BD512F" w14:textId="74E0598E" w:rsidR="00F4494B" w:rsidRDefault="00F4494B" w:rsidP="00516ECF">
      <w:pPr>
        <w:pStyle w:val="Heading4"/>
        <w:numPr>
          <w:ilvl w:val="0"/>
          <w:numId w:val="0"/>
        </w:numPr>
        <w:spacing w:before="120" w:after="120"/>
        <w:rPr>
          <w:rFonts w:cs="Arial"/>
          <w:color w:val="FF0000"/>
          <w:szCs w:val="20"/>
        </w:rPr>
      </w:pPr>
    </w:p>
    <w:p w14:paraId="5DD8827D" w14:textId="5612D072" w:rsidR="00F4494B" w:rsidRDefault="00F4494B" w:rsidP="00516ECF">
      <w:pPr>
        <w:pStyle w:val="Heading4"/>
        <w:numPr>
          <w:ilvl w:val="0"/>
          <w:numId w:val="0"/>
        </w:numPr>
        <w:spacing w:before="120" w:after="120"/>
        <w:rPr>
          <w:rFonts w:cs="Arial"/>
          <w:color w:val="FF0000"/>
          <w:szCs w:val="20"/>
        </w:rPr>
      </w:pPr>
    </w:p>
    <w:p w14:paraId="2AD399DB" w14:textId="12C22461" w:rsidR="00F4494B" w:rsidRDefault="00F4494B" w:rsidP="00516ECF">
      <w:pPr>
        <w:pStyle w:val="Heading4"/>
        <w:numPr>
          <w:ilvl w:val="0"/>
          <w:numId w:val="0"/>
        </w:numPr>
        <w:spacing w:before="120" w:after="120"/>
        <w:rPr>
          <w:rFonts w:cs="Arial"/>
          <w:color w:val="FF0000"/>
          <w:szCs w:val="20"/>
        </w:rPr>
      </w:pPr>
    </w:p>
    <w:p w14:paraId="3CFA4B18" w14:textId="691FB7D9" w:rsidR="00F4494B" w:rsidRDefault="00F4494B" w:rsidP="00516ECF">
      <w:pPr>
        <w:pStyle w:val="Heading4"/>
        <w:numPr>
          <w:ilvl w:val="0"/>
          <w:numId w:val="0"/>
        </w:numPr>
        <w:spacing w:before="120" w:after="120"/>
        <w:rPr>
          <w:rFonts w:cs="Arial"/>
          <w:color w:val="FF0000"/>
          <w:szCs w:val="20"/>
        </w:rPr>
      </w:pPr>
    </w:p>
    <w:p w14:paraId="00DD01C3" w14:textId="399947F8" w:rsidR="00F4494B" w:rsidRDefault="00F4494B" w:rsidP="00516ECF">
      <w:pPr>
        <w:pStyle w:val="Heading4"/>
        <w:numPr>
          <w:ilvl w:val="0"/>
          <w:numId w:val="0"/>
        </w:numPr>
        <w:spacing w:before="120" w:after="120"/>
        <w:rPr>
          <w:rFonts w:cs="Arial"/>
          <w:color w:val="FF0000"/>
          <w:szCs w:val="20"/>
        </w:rPr>
      </w:pPr>
    </w:p>
    <w:p w14:paraId="486ABC6D" w14:textId="41CB83E7" w:rsidR="00F4494B" w:rsidRDefault="00F4494B" w:rsidP="00516ECF">
      <w:pPr>
        <w:pStyle w:val="Heading4"/>
        <w:numPr>
          <w:ilvl w:val="0"/>
          <w:numId w:val="0"/>
        </w:numPr>
        <w:spacing w:before="120" w:after="120"/>
        <w:rPr>
          <w:rFonts w:cs="Arial"/>
          <w:color w:val="FF0000"/>
          <w:szCs w:val="20"/>
        </w:rPr>
      </w:pPr>
    </w:p>
    <w:p w14:paraId="37901ABF" w14:textId="2E5EE575" w:rsidR="00F4494B" w:rsidRDefault="00F4494B" w:rsidP="00516ECF">
      <w:pPr>
        <w:pStyle w:val="Heading4"/>
        <w:numPr>
          <w:ilvl w:val="0"/>
          <w:numId w:val="0"/>
        </w:numPr>
        <w:spacing w:before="120" w:after="120"/>
        <w:rPr>
          <w:rFonts w:cs="Arial"/>
          <w:color w:val="FF0000"/>
          <w:szCs w:val="20"/>
        </w:rPr>
      </w:pPr>
    </w:p>
    <w:p w14:paraId="09958BB4" w14:textId="491D35D5" w:rsidR="00F4494B" w:rsidRDefault="00F4494B" w:rsidP="00516ECF">
      <w:pPr>
        <w:pStyle w:val="Heading4"/>
        <w:numPr>
          <w:ilvl w:val="0"/>
          <w:numId w:val="0"/>
        </w:numPr>
        <w:spacing w:before="120" w:after="120"/>
        <w:rPr>
          <w:rFonts w:cs="Arial"/>
          <w:color w:val="FF0000"/>
          <w:szCs w:val="20"/>
        </w:rPr>
      </w:pPr>
    </w:p>
    <w:p w14:paraId="00A70420" w14:textId="2255E7A4" w:rsidR="00F4494B" w:rsidRDefault="00F4494B" w:rsidP="00516ECF">
      <w:pPr>
        <w:pStyle w:val="Heading4"/>
        <w:numPr>
          <w:ilvl w:val="0"/>
          <w:numId w:val="0"/>
        </w:numPr>
        <w:spacing w:before="120" w:after="120"/>
        <w:rPr>
          <w:rFonts w:cs="Arial"/>
          <w:color w:val="FF0000"/>
          <w:szCs w:val="20"/>
        </w:rPr>
      </w:pPr>
    </w:p>
    <w:p w14:paraId="54A431E7" w14:textId="3A1B6085" w:rsidR="00F4494B" w:rsidRDefault="00F4494B" w:rsidP="00516ECF">
      <w:pPr>
        <w:pStyle w:val="Heading4"/>
        <w:numPr>
          <w:ilvl w:val="0"/>
          <w:numId w:val="0"/>
        </w:numPr>
        <w:spacing w:before="120" w:after="120"/>
        <w:rPr>
          <w:rFonts w:cs="Arial"/>
          <w:color w:val="FF0000"/>
          <w:szCs w:val="20"/>
        </w:rPr>
      </w:pPr>
    </w:p>
    <w:p w14:paraId="47529832" w14:textId="46A593C0" w:rsidR="00F4494B" w:rsidRDefault="00F4494B" w:rsidP="00516ECF">
      <w:pPr>
        <w:pStyle w:val="Heading4"/>
        <w:numPr>
          <w:ilvl w:val="0"/>
          <w:numId w:val="0"/>
        </w:numPr>
        <w:spacing w:before="120" w:after="120"/>
        <w:rPr>
          <w:rFonts w:cs="Arial"/>
          <w:color w:val="FF0000"/>
          <w:szCs w:val="20"/>
        </w:rPr>
      </w:pPr>
    </w:p>
    <w:p w14:paraId="7DCB7C88" w14:textId="02755F27" w:rsidR="00F4494B" w:rsidRDefault="00F4494B" w:rsidP="00516ECF">
      <w:pPr>
        <w:pStyle w:val="Heading4"/>
        <w:numPr>
          <w:ilvl w:val="0"/>
          <w:numId w:val="0"/>
        </w:numPr>
        <w:spacing w:before="120" w:after="120"/>
        <w:rPr>
          <w:rFonts w:cs="Arial"/>
          <w:color w:val="FF0000"/>
          <w:szCs w:val="20"/>
        </w:rPr>
      </w:pPr>
    </w:p>
    <w:p w14:paraId="6BD00473" w14:textId="2647B335" w:rsidR="00F4494B" w:rsidRDefault="00F4494B" w:rsidP="00516ECF">
      <w:pPr>
        <w:pStyle w:val="Heading4"/>
        <w:numPr>
          <w:ilvl w:val="0"/>
          <w:numId w:val="0"/>
        </w:numPr>
        <w:spacing w:before="120" w:after="120"/>
        <w:rPr>
          <w:rFonts w:cs="Arial"/>
          <w:color w:val="FF0000"/>
          <w:szCs w:val="20"/>
        </w:rPr>
      </w:pPr>
    </w:p>
    <w:p w14:paraId="4AC7D920" w14:textId="474DCC04" w:rsidR="00F4494B" w:rsidRPr="000C7848" w:rsidRDefault="00F4494B" w:rsidP="00F4494B">
      <w:pPr>
        <w:pStyle w:val="TOCHeading"/>
        <w:rPr>
          <w:color w:val="auto"/>
        </w:rPr>
      </w:pPr>
      <w:r w:rsidRPr="000C7848">
        <w:rPr>
          <w:color w:val="auto"/>
        </w:rPr>
        <w:lastRenderedPageBreak/>
        <w:fldChar w:fldCharType="begin"/>
      </w:r>
      <w:r w:rsidRPr="000C7848">
        <w:rPr>
          <w:color w:val="auto"/>
        </w:rPr>
        <w:instrText xml:space="preserve"> DOCPROPERTY "TOC" </w:instrText>
      </w:r>
      <w:r w:rsidRPr="000C7848">
        <w:rPr>
          <w:color w:val="auto"/>
        </w:rPr>
        <w:fldChar w:fldCharType="separate"/>
      </w:r>
      <w:r w:rsidRPr="00EA0D3D">
        <w:rPr>
          <w:color w:val="7030A0"/>
        </w:rPr>
        <w:t>Table of Contents</w:t>
      </w:r>
      <w:r w:rsidRPr="000C7848">
        <w:rPr>
          <w:color w:val="auto"/>
        </w:rPr>
        <w:fldChar w:fldCharType="end"/>
      </w:r>
      <w:r w:rsidR="00635B76">
        <w:rPr>
          <w:color w:val="auto"/>
        </w:rPr>
        <w:t xml:space="preserve"> </w:t>
      </w:r>
    </w:p>
    <w:p w14:paraId="3398751D" w14:textId="295AD832" w:rsidR="00145133" w:rsidRPr="00EA0D3D" w:rsidRDefault="00F4494B">
      <w:pPr>
        <w:pStyle w:val="TOC1"/>
        <w:rPr>
          <w:rFonts w:asciiTheme="minorHAnsi" w:eastAsiaTheme="minorEastAsia" w:hAnsiTheme="minorHAnsi" w:cstheme="minorBidi"/>
          <w:b w:val="0"/>
          <w:noProof/>
          <w:color w:val="7030A0"/>
          <w:sz w:val="22"/>
          <w:szCs w:val="22"/>
          <w:lang w:eastAsia="en-GB"/>
        </w:rPr>
      </w:pPr>
      <w:r w:rsidRPr="000C7848">
        <w:fldChar w:fldCharType="begin"/>
      </w:r>
      <w:r w:rsidRPr="000C7848">
        <w:instrText xml:space="preserve"> TOC \o "1-1"  \t "Heading 8,1" </w:instrText>
      </w:r>
      <w:r w:rsidRPr="000C7848">
        <w:fldChar w:fldCharType="separate"/>
      </w:r>
      <w:r w:rsidR="00145133" w:rsidRPr="00EA0D3D">
        <w:rPr>
          <w:noProof/>
          <w:color w:val="7030A0"/>
        </w:rPr>
        <w:t>Section 1: Introduction</w:t>
      </w:r>
      <w:r w:rsidR="00145133" w:rsidRPr="00EA0D3D">
        <w:rPr>
          <w:noProof/>
          <w:color w:val="7030A0"/>
        </w:rPr>
        <w:tab/>
      </w:r>
      <w:r w:rsidR="007D26D9">
        <w:rPr>
          <w:noProof/>
          <w:color w:val="7030A0"/>
        </w:rPr>
        <w:t>3</w:t>
      </w:r>
    </w:p>
    <w:p w14:paraId="7AD19FF7" w14:textId="4EAC9EC4" w:rsidR="00145133" w:rsidRPr="00EA0D3D" w:rsidRDefault="00145133">
      <w:pPr>
        <w:pStyle w:val="TOC1"/>
        <w:rPr>
          <w:rFonts w:asciiTheme="minorHAnsi" w:eastAsiaTheme="minorEastAsia" w:hAnsiTheme="minorHAnsi" w:cstheme="minorBidi"/>
          <w:b w:val="0"/>
          <w:noProof/>
          <w:color w:val="7030A0"/>
          <w:sz w:val="22"/>
          <w:szCs w:val="22"/>
          <w:lang w:eastAsia="en-GB"/>
        </w:rPr>
      </w:pPr>
      <w:r w:rsidRPr="00EA0D3D">
        <w:rPr>
          <w:noProof/>
          <w:color w:val="7030A0"/>
        </w:rPr>
        <w:t xml:space="preserve">Section 2: </w:t>
      </w:r>
      <w:r w:rsidR="00C241D0">
        <w:rPr>
          <w:noProof/>
          <w:color w:val="7030A0"/>
        </w:rPr>
        <w:t>How the Trustee has adhered to its engagement and voting policies</w:t>
      </w:r>
      <w:r w:rsidRPr="00EA0D3D">
        <w:rPr>
          <w:noProof/>
          <w:color w:val="7030A0"/>
        </w:rPr>
        <w:tab/>
      </w:r>
      <w:r w:rsidR="00280645">
        <w:rPr>
          <w:noProof/>
          <w:color w:val="7030A0"/>
        </w:rPr>
        <w:t>4</w:t>
      </w:r>
    </w:p>
    <w:p w14:paraId="6EE8B5EA" w14:textId="5836E194" w:rsidR="00635B76" w:rsidRPr="00635B76" w:rsidRDefault="00145133" w:rsidP="00635B76">
      <w:pPr>
        <w:pStyle w:val="TOC1"/>
        <w:rPr>
          <w:noProof/>
          <w:color w:val="7030A0"/>
        </w:rPr>
      </w:pPr>
      <w:r w:rsidRPr="00EA0D3D">
        <w:rPr>
          <w:noProof/>
          <w:color w:val="7030A0"/>
        </w:rPr>
        <w:t>Section 3:</w:t>
      </w:r>
      <w:r w:rsidR="000C7848" w:rsidRPr="00EA0D3D">
        <w:rPr>
          <w:noProof/>
          <w:color w:val="7030A0"/>
        </w:rPr>
        <w:t xml:space="preserve"> Voting information</w:t>
      </w:r>
      <w:r w:rsidRPr="00EA0D3D">
        <w:rPr>
          <w:noProof/>
          <w:color w:val="7030A0"/>
        </w:rPr>
        <w:tab/>
      </w:r>
      <w:r w:rsidR="00280645">
        <w:rPr>
          <w:noProof/>
          <w:color w:val="7030A0"/>
        </w:rPr>
        <w:t>6</w:t>
      </w:r>
    </w:p>
    <w:p w14:paraId="394B21A5" w14:textId="7332B05E" w:rsidR="00145133" w:rsidRPr="00EA0D3D" w:rsidRDefault="00635B76">
      <w:pPr>
        <w:pStyle w:val="TOC1"/>
        <w:rPr>
          <w:rFonts w:asciiTheme="minorHAnsi" w:eastAsiaTheme="minorEastAsia" w:hAnsiTheme="minorHAnsi" w:cstheme="minorBidi"/>
          <w:b w:val="0"/>
          <w:noProof/>
          <w:color w:val="7030A0"/>
          <w:sz w:val="22"/>
          <w:szCs w:val="22"/>
          <w:lang w:eastAsia="en-GB"/>
        </w:rPr>
      </w:pPr>
      <w:r>
        <w:rPr>
          <w:noProof/>
          <w:color w:val="7030A0"/>
        </w:rPr>
        <w:t>Section 4</w:t>
      </w:r>
      <w:r w:rsidR="00145133" w:rsidRPr="00EA0D3D">
        <w:rPr>
          <w:noProof/>
          <w:color w:val="7030A0"/>
        </w:rPr>
        <w:t xml:space="preserve">: </w:t>
      </w:r>
      <w:r w:rsidR="00C126D5">
        <w:rPr>
          <w:noProof/>
          <w:color w:val="7030A0"/>
        </w:rPr>
        <w:t>Conclusion</w:t>
      </w:r>
      <w:r w:rsidR="00145133" w:rsidRPr="00EA0D3D">
        <w:rPr>
          <w:noProof/>
          <w:color w:val="7030A0"/>
        </w:rPr>
        <w:tab/>
      </w:r>
      <w:r w:rsidR="00713434">
        <w:rPr>
          <w:noProof/>
          <w:color w:val="7030A0"/>
        </w:rPr>
        <w:t>9</w:t>
      </w:r>
    </w:p>
    <w:p w14:paraId="42564438" w14:textId="77777777" w:rsidR="00F4494B" w:rsidRDefault="00F4494B" w:rsidP="00F4494B">
      <w:pPr>
        <w:tabs>
          <w:tab w:val="left" w:pos="1636"/>
        </w:tabs>
        <w:rPr>
          <w:b/>
        </w:rPr>
      </w:pPr>
      <w:r w:rsidRPr="000C7848">
        <w:rPr>
          <w:b/>
        </w:rPr>
        <w:fldChar w:fldCharType="end"/>
      </w:r>
    </w:p>
    <w:p w14:paraId="0283F482" w14:textId="77777777" w:rsidR="00F4494B" w:rsidRDefault="00F4494B" w:rsidP="00F4494B">
      <w:pPr>
        <w:tabs>
          <w:tab w:val="left" w:pos="1636"/>
        </w:tabs>
      </w:pPr>
    </w:p>
    <w:p w14:paraId="1B47E2BD" w14:textId="77777777" w:rsidR="00F4494B" w:rsidRDefault="00F4494B" w:rsidP="00F4494B">
      <w:pPr>
        <w:tabs>
          <w:tab w:val="left" w:pos="1636"/>
        </w:tabs>
      </w:pPr>
    </w:p>
    <w:p w14:paraId="2FD23964" w14:textId="77777777" w:rsidR="00F4494B" w:rsidRDefault="00F4494B" w:rsidP="00F4494B">
      <w:pPr>
        <w:tabs>
          <w:tab w:val="left" w:pos="1636"/>
        </w:tabs>
      </w:pPr>
    </w:p>
    <w:p w14:paraId="2EF07BCF" w14:textId="77777777" w:rsidR="00F4494B" w:rsidRDefault="00F4494B" w:rsidP="00F4494B">
      <w:pPr>
        <w:tabs>
          <w:tab w:val="left" w:pos="1636"/>
        </w:tabs>
      </w:pPr>
    </w:p>
    <w:p w14:paraId="5BA7ADEA" w14:textId="5ACA7CCE" w:rsidR="00F4494B" w:rsidRDefault="00F4494B" w:rsidP="00516ECF">
      <w:pPr>
        <w:pStyle w:val="Heading4"/>
        <w:numPr>
          <w:ilvl w:val="0"/>
          <w:numId w:val="0"/>
        </w:numPr>
        <w:spacing w:before="120" w:after="120"/>
        <w:rPr>
          <w:rFonts w:cs="Arial"/>
          <w:color w:val="FF0000"/>
          <w:szCs w:val="20"/>
        </w:rPr>
      </w:pPr>
    </w:p>
    <w:p w14:paraId="2522C50D" w14:textId="41EE51E0" w:rsidR="00F4494B" w:rsidRDefault="00F4494B" w:rsidP="00516ECF">
      <w:pPr>
        <w:pStyle w:val="Heading4"/>
        <w:numPr>
          <w:ilvl w:val="0"/>
          <w:numId w:val="0"/>
        </w:numPr>
        <w:spacing w:before="120" w:after="120"/>
        <w:rPr>
          <w:rFonts w:cs="Arial"/>
          <w:color w:val="FF0000"/>
          <w:szCs w:val="20"/>
        </w:rPr>
      </w:pPr>
    </w:p>
    <w:p w14:paraId="6EC7C328" w14:textId="0096CBFF" w:rsidR="00F4494B" w:rsidRDefault="00F4494B" w:rsidP="00516ECF">
      <w:pPr>
        <w:pStyle w:val="Heading4"/>
        <w:numPr>
          <w:ilvl w:val="0"/>
          <w:numId w:val="0"/>
        </w:numPr>
        <w:spacing w:before="120" w:after="120"/>
        <w:rPr>
          <w:rFonts w:cs="Arial"/>
          <w:color w:val="FF0000"/>
          <w:szCs w:val="20"/>
        </w:rPr>
      </w:pPr>
    </w:p>
    <w:p w14:paraId="341CAFDB" w14:textId="4B934392" w:rsidR="00F4494B" w:rsidRDefault="00F4494B" w:rsidP="00516ECF">
      <w:pPr>
        <w:pStyle w:val="Heading4"/>
        <w:numPr>
          <w:ilvl w:val="0"/>
          <w:numId w:val="0"/>
        </w:numPr>
        <w:spacing w:before="120" w:after="120"/>
        <w:rPr>
          <w:rFonts w:cs="Arial"/>
          <w:color w:val="FF0000"/>
          <w:szCs w:val="20"/>
        </w:rPr>
      </w:pPr>
    </w:p>
    <w:p w14:paraId="6B94034D" w14:textId="284F9F9A" w:rsidR="00F4494B" w:rsidRDefault="00F4494B" w:rsidP="00516ECF">
      <w:pPr>
        <w:pStyle w:val="Heading4"/>
        <w:numPr>
          <w:ilvl w:val="0"/>
          <w:numId w:val="0"/>
        </w:numPr>
        <w:spacing w:before="120" w:after="120"/>
        <w:rPr>
          <w:rFonts w:cs="Arial"/>
          <w:color w:val="FF0000"/>
          <w:szCs w:val="20"/>
        </w:rPr>
      </w:pPr>
    </w:p>
    <w:p w14:paraId="11AAAFE3" w14:textId="5C2A623E" w:rsidR="00F4494B" w:rsidRDefault="00F4494B" w:rsidP="00516ECF">
      <w:pPr>
        <w:pStyle w:val="Heading4"/>
        <w:numPr>
          <w:ilvl w:val="0"/>
          <w:numId w:val="0"/>
        </w:numPr>
        <w:spacing w:before="120" w:after="120"/>
        <w:rPr>
          <w:rFonts w:cs="Arial"/>
          <w:color w:val="FF0000"/>
          <w:szCs w:val="20"/>
        </w:rPr>
      </w:pPr>
    </w:p>
    <w:p w14:paraId="6107C900" w14:textId="02B6F519" w:rsidR="00F4494B" w:rsidRDefault="00F4494B" w:rsidP="00516ECF">
      <w:pPr>
        <w:pStyle w:val="Heading4"/>
        <w:numPr>
          <w:ilvl w:val="0"/>
          <w:numId w:val="0"/>
        </w:numPr>
        <w:spacing w:before="120" w:after="120"/>
        <w:rPr>
          <w:rFonts w:cs="Arial"/>
          <w:color w:val="FF0000"/>
          <w:szCs w:val="20"/>
        </w:rPr>
      </w:pPr>
    </w:p>
    <w:p w14:paraId="3FE5695E" w14:textId="5F081836" w:rsidR="00F4494B" w:rsidRDefault="00F4494B" w:rsidP="00516ECF">
      <w:pPr>
        <w:pStyle w:val="Heading4"/>
        <w:numPr>
          <w:ilvl w:val="0"/>
          <w:numId w:val="0"/>
        </w:numPr>
        <w:spacing w:before="120" w:after="120"/>
        <w:rPr>
          <w:rFonts w:cs="Arial"/>
          <w:color w:val="FF0000"/>
          <w:szCs w:val="20"/>
        </w:rPr>
      </w:pPr>
    </w:p>
    <w:p w14:paraId="5495B106" w14:textId="0DB5121E" w:rsidR="00F4494B" w:rsidRDefault="00F4494B" w:rsidP="00516ECF">
      <w:pPr>
        <w:pStyle w:val="Heading4"/>
        <w:numPr>
          <w:ilvl w:val="0"/>
          <w:numId w:val="0"/>
        </w:numPr>
        <w:spacing w:before="120" w:after="120"/>
        <w:rPr>
          <w:rFonts w:cs="Arial"/>
          <w:color w:val="FF0000"/>
          <w:szCs w:val="20"/>
        </w:rPr>
      </w:pPr>
    </w:p>
    <w:p w14:paraId="7684C1B1" w14:textId="5E07975D" w:rsidR="00F4494B" w:rsidRDefault="00F4494B" w:rsidP="00516ECF">
      <w:pPr>
        <w:pStyle w:val="Heading4"/>
        <w:numPr>
          <w:ilvl w:val="0"/>
          <w:numId w:val="0"/>
        </w:numPr>
        <w:spacing w:before="120" w:after="120"/>
        <w:rPr>
          <w:rFonts w:cs="Arial"/>
          <w:color w:val="FF0000"/>
          <w:szCs w:val="20"/>
        </w:rPr>
      </w:pPr>
    </w:p>
    <w:p w14:paraId="6446B28F" w14:textId="073D07BF" w:rsidR="00F4494B" w:rsidRDefault="00F4494B" w:rsidP="00516ECF">
      <w:pPr>
        <w:pStyle w:val="Heading4"/>
        <w:numPr>
          <w:ilvl w:val="0"/>
          <w:numId w:val="0"/>
        </w:numPr>
        <w:spacing w:before="120" w:after="120"/>
        <w:rPr>
          <w:rFonts w:cs="Arial"/>
          <w:color w:val="FF0000"/>
          <w:szCs w:val="20"/>
        </w:rPr>
      </w:pPr>
    </w:p>
    <w:p w14:paraId="4B5EDE29" w14:textId="117DB871" w:rsidR="00F4494B" w:rsidRDefault="00F4494B" w:rsidP="00516ECF">
      <w:pPr>
        <w:pStyle w:val="Heading4"/>
        <w:numPr>
          <w:ilvl w:val="0"/>
          <w:numId w:val="0"/>
        </w:numPr>
        <w:spacing w:before="120" w:after="120"/>
        <w:rPr>
          <w:rFonts w:cs="Arial"/>
          <w:color w:val="FF0000"/>
          <w:szCs w:val="20"/>
        </w:rPr>
      </w:pPr>
    </w:p>
    <w:p w14:paraId="1F198FF5" w14:textId="32B479BB" w:rsidR="00F4494B" w:rsidRDefault="00F4494B" w:rsidP="00516ECF">
      <w:pPr>
        <w:pStyle w:val="Heading4"/>
        <w:numPr>
          <w:ilvl w:val="0"/>
          <w:numId w:val="0"/>
        </w:numPr>
        <w:spacing w:before="120" w:after="120"/>
        <w:rPr>
          <w:rFonts w:cs="Arial"/>
          <w:color w:val="FF0000"/>
          <w:szCs w:val="20"/>
        </w:rPr>
      </w:pPr>
    </w:p>
    <w:p w14:paraId="50AEB899" w14:textId="59ECB23A" w:rsidR="00F4494B" w:rsidRDefault="00F4494B" w:rsidP="00516ECF">
      <w:pPr>
        <w:pStyle w:val="Heading4"/>
        <w:numPr>
          <w:ilvl w:val="0"/>
          <w:numId w:val="0"/>
        </w:numPr>
        <w:spacing w:before="120" w:after="120"/>
        <w:rPr>
          <w:rFonts w:cs="Arial"/>
          <w:color w:val="FF0000"/>
          <w:szCs w:val="20"/>
        </w:rPr>
      </w:pPr>
    </w:p>
    <w:p w14:paraId="687E4371" w14:textId="4EEE473A" w:rsidR="00F4494B" w:rsidRDefault="00F4494B" w:rsidP="00516ECF">
      <w:pPr>
        <w:pStyle w:val="Heading4"/>
        <w:numPr>
          <w:ilvl w:val="0"/>
          <w:numId w:val="0"/>
        </w:numPr>
        <w:spacing w:before="120" w:after="120"/>
        <w:rPr>
          <w:rFonts w:cs="Arial"/>
          <w:color w:val="FF0000"/>
          <w:szCs w:val="20"/>
        </w:rPr>
      </w:pPr>
    </w:p>
    <w:p w14:paraId="262F5B9B" w14:textId="01DA137E" w:rsidR="00F4494B" w:rsidRDefault="00F4494B" w:rsidP="00516ECF">
      <w:pPr>
        <w:pStyle w:val="Heading4"/>
        <w:numPr>
          <w:ilvl w:val="0"/>
          <w:numId w:val="0"/>
        </w:numPr>
        <w:spacing w:before="120" w:after="120"/>
        <w:rPr>
          <w:rFonts w:cs="Arial"/>
          <w:color w:val="FF0000"/>
          <w:szCs w:val="20"/>
        </w:rPr>
      </w:pPr>
    </w:p>
    <w:p w14:paraId="262A7582" w14:textId="45EAC090" w:rsidR="00F4494B" w:rsidRDefault="00F4494B" w:rsidP="00516ECF">
      <w:pPr>
        <w:pStyle w:val="Heading4"/>
        <w:numPr>
          <w:ilvl w:val="0"/>
          <w:numId w:val="0"/>
        </w:numPr>
        <w:spacing w:before="120" w:after="120"/>
        <w:rPr>
          <w:rFonts w:cs="Arial"/>
          <w:color w:val="FF0000"/>
          <w:szCs w:val="20"/>
        </w:rPr>
      </w:pPr>
    </w:p>
    <w:p w14:paraId="72E6C42B" w14:textId="77777777" w:rsidR="00F4494B" w:rsidRDefault="00F4494B" w:rsidP="00516ECF">
      <w:pPr>
        <w:pStyle w:val="Heading4"/>
        <w:numPr>
          <w:ilvl w:val="0"/>
          <w:numId w:val="0"/>
        </w:numPr>
        <w:spacing w:before="120" w:after="120"/>
        <w:rPr>
          <w:rFonts w:cs="Arial"/>
          <w:color w:val="FF0000"/>
          <w:szCs w:val="20"/>
        </w:rPr>
      </w:pPr>
    </w:p>
    <w:p w14:paraId="08110DA7" w14:textId="114562E3" w:rsidR="00F4494B" w:rsidRDefault="00F4494B" w:rsidP="00516ECF">
      <w:pPr>
        <w:pStyle w:val="Heading4"/>
        <w:numPr>
          <w:ilvl w:val="0"/>
          <w:numId w:val="0"/>
        </w:numPr>
        <w:spacing w:before="120" w:after="120"/>
        <w:rPr>
          <w:rFonts w:cs="Arial"/>
          <w:color w:val="FF0000"/>
          <w:szCs w:val="20"/>
        </w:rPr>
      </w:pPr>
    </w:p>
    <w:p w14:paraId="2DEF602E" w14:textId="534983A6" w:rsidR="00F4494B" w:rsidRDefault="00F4494B" w:rsidP="00516ECF">
      <w:pPr>
        <w:pStyle w:val="Heading4"/>
        <w:numPr>
          <w:ilvl w:val="0"/>
          <w:numId w:val="0"/>
        </w:numPr>
        <w:spacing w:before="120" w:after="120"/>
        <w:rPr>
          <w:rFonts w:cs="Arial"/>
          <w:color w:val="FF0000"/>
          <w:szCs w:val="20"/>
        </w:rPr>
      </w:pPr>
    </w:p>
    <w:p w14:paraId="464C6753" w14:textId="7C24A3D4" w:rsidR="00F4494B" w:rsidRDefault="00F4494B" w:rsidP="00516ECF">
      <w:pPr>
        <w:pStyle w:val="Heading4"/>
        <w:numPr>
          <w:ilvl w:val="0"/>
          <w:numId w:val="0"/>
        </w:numPr>
        <w:spacing w:before="120" w:after="120"/>
        <w:rPr>
          <w:rFonts w:cs="Arial"/>
          <w:color w:val="FF0000"/>
          <w:szCs w:val="20"/>
        </w:rPr>
      </w:pPr>
    </w:p>
    <w:p w14:paraId="24AE0390" w14:textId="42CB756B" w:rsidR="00F4494B" w:rsidRDefault="00F4494B" w:rsidP="00516ECF">
      <w:pPr>
        <w:pStyle w:val="Heading4"/>
        <w:numPr>
          <w:ilvl w:val="0"/>
          <w:numId w:val="0"/>
        </w:numPr>
        <w:spacing w:before="120" w:after="120"/>
        <w:rPr>
          <w:rFonts w:cs="Arial"/>
          <w:color w:val="FF0000"/>
          <w:szCs w:val="20"/>
        </w:rPr>
      </w:pPr>
    </w:p>
    <w:p w14:paraId="12645600" w14:textId="5AA7E8D5" w:rsidR="00F4494B" w:rsidRDefault="00F4494B" w:rsidP="00516ECF">
      <w:pPr>
        <w:pStyle w:val="Heading4"/>
        <w:numPr>
          <w:ilvl w:val="0"/>
          <w:numId w:val="0"/>
        </w:numPr>
        <w:spacing w:before="120" w:after="120"/>
        <w:rPr>
          <w:rFonts w:cs="Arial"/>
          <w:color w:val="FF0000"/>
          <w:szCs w:val="20"/>
        </w:rPr>
      </w:pPr>
    </w:p>
    <w:p w14:paraId="769C2019" w14:textId="77777777" w:rsidR="00B67458" w:rsidRDefault="00B67458" w:rsidP="00516ECF">
      <w:pPr>
        <w:pStyle w:val="Heading4"/>
        <w:numPr>
          <w:ilvl w:val="0"/>
          <w:numId w:val="0"/>
        </w:numPr>
        <w:spacing w:before="120" w:after="120"/>
        <w:rPr>
          <w:rFonts w:cs="Arial"/>
          <w:color w:val="FF0000"/>
          <w:szCs w:val="20"/>
        </w:rPr>
      </w:pPr>
    </w:p>
    <w:p w14:paraId="5B235169" w14:textId="6D2A0406" w:rsidR="00B20133" w:rsidRPr="00EA0D3D" w:rsidRDefault="00B20133" w:rsidP="00B20133">
      <w:pPr>
        <w:pStyle w:val="Heading1"/>
        <w:pageBreakBefore/>
        <w:spacing w:before="240" w:after="0" w:line="259" w:lineRule="auto"/>
        <w:rPr>
          <w:color w:val="7030A0"/>
          <w:sz w:val="40"/>
          <w:szCs w:val="24"/>
        </w:rPr>
      </w:pPr>
      <w:bookmarkStart w:id="0" w:name="_Toc53387167"/>
      <w:r w:rsidRPr="00EA0D3D">
        <w:rPr>
          <w:color w:val="7030A0"/>
          <w:sz w:val="40"/>
          <w:szCs w:val="24"/>
        </w:rPr>
        <w:lastRenderedPageBreak/>
        <w:t>Section 1: Introduction</w:t>
      </w:r>
      <w:bookmarkEnd w:id="0"/>
      <w:r w:rsidRPr="00EA0D3D" w:rsidDel="007577CC">
        <w:rPr>
          <w:color w:val="7030A0"/>
          <w:sz w:val="40"/>
          <w:szCs w:val="24"/>
        </w:rPr>
        <w:t xml:space="preserve"> </w:t>
      </w:r>
    </w:p>
    <w:p w14:paraId="0C6216D1" w14:textId="76FB9A3B" w:rsidR="00516ECF" w:rsidRPr="0069354A" w:rsidRDefault="00516ECF" w:rsidP="00516ECF">
      <w:pPr>
        <w:pStyle w:val="Heading4"/>
        <w:numPr>
          <w:ilvl w:val="0"/>
          <w:numId w:val="0"/>
        </w:numPr>
        <w:spacing w:before="120" w:after="120"/>
        <w:rPr>
          <w:rFonts w:cs="Arial"/>
          <w:szCs w:val="20"/>
        </w:rPr>
      </w:pPr>
      <w:r w:rsidRPr="0069354A">
        <w:rPr>
          <w:rFonts w:cs="Arial"/>
          <w:szCs w:val="20"/>
        </w:rPr>
        <w:t xml:space="preserve">This document is the Annual Implementation Statement (“the statement”) prepared </w:t>
      </w:r>
      <w:r w:rsidR="004316C0" w:rsidRPr="0069354A">
        <w:rPr>
          <w:rFonts w:cs="Arial"/>
          <w:szCs w:val="20"/>
        </w:rPr>
        <w:t>by</w:t>
      </w:r>
      <w:r w:rsidRPr="0069354A">
        <w:rPr>
          <w:rFonts w:cs="Arial"/>
          <w:szCs w:val="20"/>
        </w:rPr>
        <w:t xml:space="preserve"> the Trustee of </w:t>
      </w:r>
      <w:r w:rsidR="003B2765" w:rsidRPr="0069354A">
        <w:rPr>
          <w:rFonts w:cs="Arial"/>
          <w:szCs w:val="20"/>
        </w:rPr>
        <w:t xml:space="preserve">the </w:t>
      </w:r>
      <w:r w:rsidR="00BC5E2B" w:rsidRPr="00BC5E2B">
        <w:rPr>
          <w:rFonts w:cs="Arial"/>
          <w:szCs w:val="20"/>
        </w:rPr>
        <w:t xml:space="preserve">Midcounties Co-operative Pension Scheme </w:t>
      </w:r>
      <w:r w:rsidR="004316C0" w:rsidRPr="0069354A">
        <w:rPr>
          <w:rFonts w:cs="Arial"/>
          <w:szCs w:val="20"/>
        </w:rPr>
        <w:t xml:space="preserve">(“the </w:t>
      </w:r>
      <w:r w:rsidR="00BC5E2B">
        <w:rPr>
          <w:rFonts w:cs="Arial"/>
          <w:szCs w:val="20"/>
        </w:rPr>
        <w:t>Scheme</w:t>
      </w:r>
      <w:r w:rsidR="004316C0" w:rsidRPr="0069354A">
        <w:rPr>
          <w:rFonts w:cs="Arial"/>
          <w:szCs w:val="20"/>
        </w:rPr>
        <w:t xml:space="preserve">”) </w:t>
      </w:r>
      <w:r w:rsidRPr="0069354A">
        <w:rPr>
          <w:rFonts w:cs="Arial"/>
          <w:szCs w:val="20"/>
        </w:rPr>
        <w:t xml:space="preserve">covering the </w:t>
      </w:r>
      <w:r w:rsidR="005D5187">
        <w:rPr>
          <w:rFonts w:cs="Arial"/>
          <w:szCs w:val="20"/>
        </w:rPr>
        <w:t>scheme</w:t>
      </w:r>
      <w:r w:rsidR="006F01A2" w:rsidRPr="0069354A">
        <w:rPr>
          <w:rFonts w:cs="Arial"/>
          <w:szCs w:val="20"/>
        </w:rPr>
        <w:t xml:space="preserve"> </w:t>
      </w:r>
      <w:r w:rsidRPr="0069354A">
        <w:rPr>
          <w:rFonts w:cs="Arial"/>
          <w:szCs w:val="20"/>
        </w:rPr>
        <w:t xml:space="preserve">year (“the year”) </w:t>
      </w:r>
      <w:r w:rsidR="00604948">
        <w:rPr>
          <w:rFonts w:cs="Arial"/>
          <w:szCs w:val="20"/>
        </w:rPr>
        <w:t xml:space="preserve">from 1 </w:t>
      </w:r>
      <w:r w:rsidR="00B312C3">
        <w:rPr>
          <w:rFonts w:cs="Arial"/>
          <w:szCs w:val="20"/>
        </w:rPr>
        <w:t>Jan</w:t>
      </w:r>
      <w:r w:rsidR="00604948">
        <w:rPr>
          <w:rFonts w:cs="Arial"/>
          <w:szCs w:val="20"/>
        </w:rPr>
        <w:t xml:space="preserve"> 20</w:t>
      </w:r>
      <w:r w:rsidR="00B312C3">
        <w:rPr>
          <w:rFonts w:cs="Arial"/>
          <w:szCs w:val="20"/>
        </w:rPr>
        <w:t>20</w:t>
      </w:r>
      <w:r w:rsidR="00604948">
        <w:rPr>
          <w:rFonts w:cs="Arial"/>
          <w:szCs w:val="20"/>
        </w:rPr>
        <w:t xml:space="preserve"> </w:t>
      </w:r>
      <w:r w:rsidR="006F01A2">
        <w:rPr>
          <w:rFonts w:cs="Arial"/>
          <w:szCs w:val="20"/>
        </w:rPr>
        <w:t xml:space="preserve">to </w:t>
      </w:r>
      <w:r w:rsidR="00604948">
        <w:rPr>
          <w:rFonts w:cs="Arial"/>
          <w:szCs w:val="20"/>
        </w:rPr>
        <w:t>3</w:t>
      </w:r>
      <w:r w:rsidR="00B312C3">
        <w:rPr>
          <w:rFonts w:cs="Arial"/>
          <w:szCs w:val="20"/>
        </w:rPr>
        <w:t>1</w:t>
      </w:r>
      <w:r w:rsidR="00604948">
        <w:rPr>
          <w:rFonts w:cs="Arial"/>
          <w:szCs w:val="20"/>
        </w:rPr>
        <w:t xml:space="preserve"> </w:t>
      </w:r>
      <w:r w:rsidR="00B312C3">
        <w:rPr>
          <w:rFonts w:cs="Arial"/>
          <w:szCs w:val="20"/>
        </w:rPr>
        <w:t>December</w:t>
      </w:r>
      <w:r w:rsidR="00604948">
        <w:rPr>
          <w:rFonts w:cs="Arial"/>
          <w:szCs w:val="20"/>
        </w:rPr>
        <w:t xml:space="preserve"> 2020</w:t>
      </w:r>
      <w:r w:rsidRPr="0069354A">
        <w:rPr>
          <w:rFonts w:cs="Arial"/>
          <w:szCs w:val="20"/>
        </w:rPr>
        <w:t xml:space="preserve">. </w:t>
      </w:r>
    </w:p>
    <w:p w14:paraId="745CA418" w14:textId="77777777" w:rsidR="003B2765" w:rsidRPr="0069354A" w:rsidRDefault="00516ECF" w:rsidP="00516ECF">
      <w:pPr>
        <w:pStyle w:val="Heading4"/>
        <w:numPr>
          <w:ilvl w:val="0"/>
          <w:numId w:val="0"/>
        </w:numPr>
        <w:spacing w:before="120" w:after="120"/>
        <w:rPr>
          <w:rFonts w:cs="Arial"/>
          <w:szCs w:val="20"/>
        </w:rPr>
      </w:pPr>
      <w:r w:rsidRPr="0069354A">
        <w:rPr>
          <w:rFonts w:cs="Arial"/>
          <w:szCs w:val="20"/>
        </w:rPr>
        <w:t>The purpose of this statement is t</w:t>
      </w:r>
      <w:r w:rsidR="00B20133" w:rsidRPr="0069354A">
        <w:rPr>
          <w:rFonts w:cs="Arial"/>
          <w:szCs w:val="20"/>
        </w:rPr>
        <w:t>o set out</w:t>
      </w:r>
      <w:r w:rsidR="003B2765" w:rsidRPr="0069354A">
        <w:rPr>
          <w:rFonts w:cs="Arial"/>
          <w:szCs w:val="20"/>
        </w:rPr>
        <w:t>:</w:t>
      </w:r>
    </w:p>
    <w:p w14:paraId="028052FD" w14:textId="169B66A9" w:rsidR="003B2765" w:rsidRPr="0069354A" w:rsidRDefault="003B2765" w:rsidP="00925D23">
      <w:pPr>
        <w:pStyle w:val="Heading4"/>
        <w:numPr>
          <w:ilvl w:val="0"/>
          <w:numId w:val="18"/>
        </w:numPr>
        <w:spacing w:before="120" w:after="120"/>
        <w:rPr>
          <w:rFonts w:cs="Arial"/>
          <w:szCs w:val="20"/>
        </w:rPr>
      </w:pPr>
      <w:r w:rsidRPr="0069354A">
        <w:rPr>
          <w:rFonts w:cs="Arial"/>
          <w:szCs w:val="20"/>
        </w:rPr>
        <w:t>Details of how</w:t>
      </w:r>
      <w:r w:rsidR="00B20133" w:rsidRPr="0069354A">
        <w:rPr>
          <w:rFonts w:cs="Arial"/>
          <w:szCs w:val="20"/>
        </w:rPr>
        <w:t xml:space="preserve"> </w:t>
      </w:r>
      <w:r w:rsidRPr="0069354A">
        <w:rPr>
          <w:rFonts w:cs="Arial"/>
          <w:szCs w:val="20"/>
        </w:rPr>
        <w:t xml:space="preserve">and </w:t>
      </w:r>
      <w:r w:rsidR="00B20133" w:rsidRPr="0069354A">
        <w:rPr>
          <w:rFonts w:cs="Arial"/>
          <w:szCs w:val="20"/>
        </w:rPr>
        <w:t xml:space="preserve">the extent to which, in the opinion of the Trustee, the </w:t>
      </w:r>
      <w:r w:rsidR="006F01A2">
        <w:rPr>
          <w:rFonts w:cs="Arial"/>
          <w:szCs w:val="20"/>
        </w:rPr>
        <w:t>Trustee</w:t>
      </w:r>
      <w:r w:rsidR="006F01A2" w:rsidRPr="0069354A">
        <w:rPr>
          <w:rFonts w:cs="Arial"/>
          <w:szCs w:val="20"/>
        </w:rPr>
        <w:t xml:space="preserve">’s </w:t>
      </w:r>
      <w:r w:rsidR="00B20133" w:rsidRPr="0069354A">
        <w:rPr>
          <w:rFonts w:cs="Arial"/>
          <w:szCs w:val="20"/>
        </w:rPr>
        <w:t>polic</w:t>
      </w:r>
      <w:r w:rsidR="000C3C9D">
        <w:rPr>
          <w:rFonts w:cs="Arial"/>
          <w:szCs w:val="20"/>
        </w:rPr>
        <w:t>ies</w:t>
      </w:r>
      <w:r w:rsidR="00B20133" w:rsidRPr="0069354A">
        <w:rPr>
          <w:rFonts w:cs="Arial"/>
          <w:szCs w:val="20"/>
        </w:rPr>
        <w:t xml:space="preserve"> on engagement and voting</w:t>
      </w:r>
      <w:r w:rsidRPr="0069354A">
        <w:rPr>
          <w:rFonts w:cs="Arial"/>
          <w:szCs w:val="20"/>
        </w:rPr>
        <w:t xml:space="preserve"> as set out in the Statement of Investment Principles (</w:t>
      </w:r>
      <w:r w:rsidR="00127888" w:rsidRPr="0069354A">
        <w:rPr>
          <w:rFonts w:cs="Arial"/>
          <w:szCs w:val="20"/>
        </w:rPr>
        <w:t xml:space="preserve">the </w:t>
      </w:r>
      <w:r w:rsidRPr="0069354A">
        <w:rPr>
          <w:rFonts w:cs="Arial"/>
          <w:szCs w:val="20"/>
        </w:rPr>
        <w:t>“SIP”)</w:t>
      </w:r>
      <w:r w:rsidR="00B20133" w:rsidRPr="0069354A">
        <w:rPr>
          <w:rFonts w:cs="Arial"/>
          <w:szCs w:val="20"/>
        </w:rPr>
        <w:t xml:space="preserve"> ha</w:t>
      </w:r>
      <w:r w:rsidR="000C3C9D">
        <w:rPr>
          <w:rFonts w:cs="Arial"/>
          <w:szCs w:val="20"/>
        </w:rPr>
        <w:t xml:space="preserve">ve </w:t>
      </w:r>
      <w:r w:rsidR="00B20133" w:rsidRPr="0069354A">
        <w:rPr>
          <w:rFonts w:cs="Arial"/>
          <w:szCs w:val="20"/>
        </w:rPr>
        <w:t>been</w:t>
      </w:r>
      <w:r w:rsidR="00C126D5">
        <w:rPr>
          <w:rFonts w:cs="Arial"/>
          <w:szCs w:val="20"/>
        </w:rPr>
        <w:t xml:space="preserve"> adhered to</w:t>
      </w:r>
      <w:r w:rsidR="00B20133" w:rsidRPr="0069354A">
        <w:rPr>
          <w:rFonts w:cs="Arial"/>
          <w:szCs w:val="20"/>
        </w:rPr>
        <w:t xml:space="preserve"> during the year</w:t>
      </w:r>
      <w:r w:rsidRPr="0069354A">
        <w:rPr>
          <w:rFonts w:cs="Arial"/>
          <w:szCs w:val="20"/>
        </w:rPr>
        <w:t>; and</w:t>
      </w:r>
    </w:p>
    <w:p w14:paraId="114FCA20" w14:textId="62BE1CA9" w:rsidR="00516ECF" w:rsidRPr="00604948" w:rsidRDefault="003B2765" w:rsidP="00925D23">
      <w:pPr>
        <w:pStyle w:val="Heading4"/>
        <w:numPr>
          <w:ilvl w:val="0"/>
          <w:numId w:val="18"/>
        </w:numPr>
        <w:spacing w:before="120" w:after="120"/>
        <w:rPr>
          <w:rFonts w:cs="Arial"/>
          <w:szCs w:val="20"/>
        </w:rPr>
      </w:pPr>
      <w:r w:rsidRPr="0069354A">
        <w:rPr>
          <w:rFonts w:cs="Arial"/>
          <w:szCs w:val="20"/>
        </w:rPr>
        <w:t>A d</w:t>
      </w:r>
      <w:r w:rsidRPr="0069354A">
        <w:rPr>
          <w:rFonts w:cs="Arial"/>
        </w:rPr>
        <w:t>escription of voting behaviour (including</w:t>
      </w:r>
      <w:r w:rsidR="00127888" w:rsidRPr="0069354A">
        <w:rPr>
          <w:rFonts w:cs="Arial"/>
        </w:rPr>
        <w:t xml:space="preserve"> the</w:t>
      </w:r>
      <w:r w:rsidRPr="0069354A">
        <w:rPr>
          <w:rFonts w:cs="Arial"/>
        </w:rPr>
        <w:t xml:space="preserve"> most significant votes made on behalf of the Trustee) and any use of a proxy vot</w:t>
      </w:r>
      <w:r w:rsidR="00805ACA">
        <w:rPr>
          <w:rFonts w:cs="Arial"/>
        </w:rPr>
        <w:t>ing services</w:t>
      </w:r>
      <w:r w:rsidRPr="0069354A">
        <w:rPr>
          <w:rFonts w:cs="Arial"/>
        </w:rPr>
        <w:t xml:space="preserve"> during the year.</w:t>
      </w:r>
    </w:p>
    <w:p w14:paraId="7D81DB7E" w14:textId="2A554F87" w:rsidR="005D5187" w:rsidRDefault="005D5187" w:rsidP="00B67458">
      <w:pPr>
        <w:pStyle w:val="Heading4"/>
        <w:numPr>
          <w:ilvl w:val="0"/>
          <w:numId w:val="0"/>
        </w:numPr>
        <w:rPr>
          <w:rFonts w:cs="Arial"/>
        </w:rPr>
      </w:pPr>
      <w:r>
        <w:rPr>
          <w:rFonts w:cs="Arial"/>
        </w:rPr>
        <w:t xml:space="preserve">The </w:t>
      </w:r>
      <w:r w:rsidR="00BC5E2B">
        <w:rPr>
          <w:rFonts w:cs="Arial"/>
        </w:rPr>
        <w:t>Scheme</w:t>
      </w:r>
      <w:r>
        <w:rPr>
          <w:rFonts w:cs="Arial"/>
        </w:rPr>
        <w:t xml:space="preserve"> makes use of a wide range of investments; </w:t>
      </w:r>
      <w:proofErr w:type="gramStart"/>
      <w:r>
        <w:rPr>
          <w:rFonts w:cs="Arial"/>
        </w:rPr>
        <w:t>therefore</w:t>
      </w:r>
      <w:proofErr w:type="gramEnd"/>
      <w:r>
        <w:rPr>
          <w:rFonts w:cs="Arial"/>
        </w:rPr>
        <w:t xml:space="preserve"> the principles and policies in the SIP are intended to be applied in aggregate and proportionately, focusing on areas of maximum impact.</w:t>
      </w:r>
    </w:p>
    <w:p w14:paraId="50736BF0" w14:textId="57C345C1" w:rsidR="005D5187" w:rsidRDefault="005D5187" w:rsidP="00B67458">
      <w:pPr>
        <w:pStyle w:val="Heading4"/>
        <w:numPr>
          <w:ilvl w:val="0"/>
          <w:numId w:val="0"/>
        </w:numPr>
        <w:rPr>
          <w:rFonts w:cs="Arial"/>
        </w:rPr>
      </w:pPr>
      <w:r>
        <w:rPr>
          <w:rFonts w:cs="Arial"/>
        </w:rPr>
        <w:t xml:space="preserve">In order to ensure that the investment policies set out in the SIP are undertaken only by persons or organisations with the skills, information and resources necessary to take them effectively, the Trustee delegates some responsibilities.  In particular, the Trustee has appointed a </w:t>
      </w:r>
      <w:r w:rsidR="00F63A27">
        <w:rPr>
          <w:rFonts w:cs="Arial"/>
        </w:rPr>
        <w:t>Fiduciary</w:t>
      </w:r>
      <w:r>
        <w:rPr>
          <w:rFonts w:cs="Arial"/>
        </w:rPr>
        <w:t xml:space="preserve"> Manager, Towers Watson Limited, to manage the </w:t>
      </w:r>
      <w:r w:rsidR="00BC5E2B">
        <w:rPr>
          <w:rFonts w:cs="Arial"/>
        </w:rPr>
        <w:t>Scheme</w:t>
      </w:r>
      <w:r>
        <w:rPr>
          <w:rFonts w:cs="Arial"/>
        </w:rPr>
        <w:t xml:space="preserve"> assets on a discretionary basis.  The Fiduciary Manager’s discretion is subject to guidelines and restrictions set by the Trustee.  So far as is practicable, the Fiduciary Manager considers and seeks to give effect to the policies set out in the Trustee’s SIP.</w:t>
      </w:r>
    </w:p>
    <w:p w14:paraId="64DFF61A" w14:textId="0201467C" w:rsidR="00604948" w:rsidRDefault="00604948" w:rsidP="00B67458">
      <w:pPr>
        <w:pStyle w:val="Heading4"/>
        <w:numPr>
          <w:ilvl w:val="0"/>
          <w:numId w:val="0"/>
        </w:numPr>
        <w:rPr>
          <w:rFonts w:cs="Arial"/>
        </w:rPr>
      </w:pPr>
      <w:r>
        <w:rPr>
          <w:rFonts w:cs="Arial"/>
        </w:rPr>
        <w:t xml:space="preserve">The SIP is a document which outlines the Trustee’s policies with respect to various aspects related to investing and managing the </w:t>
      </w:r>
      <w:r w:rsidR="002079F9">
        <w:rPr>
          <w:rFonts w:cs="Arial"/>
        </w:rPr>
        <w:t>Scheme’s</w:t>
      </w:r>
      <w:r>
        <w:rPr>
          <w:rFonts w:cs="Arial"/>
        </w:rPr>
        <w:t xml:space="preserve"> assets including but not limited </w:t>
      </w:r>
      <w:proofErr w:type="gramStart"/>
      <w:r>
        <w:rPr>
          <w:rFonts w:cs="Arial"/>
        </w:rPr>
        <w:t>to:</w:t>
      </w:r>
      <w:proofErr w:type="gramEnd"/>
      <w:r>
        <w:rPr>
          <w:rFonts w:cs="Arial"/>
        </w:rPr>
        <w:t xml:space="preserve"> investment managers, portfolio construction and risks. </w:t>
      </w:r>
      <w:r w:rsidR="005D5187">
        <w:rPr>
          <w:rFonts w:cs="Arial"/>
        </w:rPr>
        <w:t xml:space="preserve">The SIP was reviewed and updated </w:t>
      </w:r>
      <w:r w:rsidR="00BC5E2B">
        <w:rPr>
          <w:rFonts w:cs="Arial"/>
        </w:rPr>
        <w:t>once</w:t>
      </w:r>
      <w:r w:rsidR="005D5187">
        <w:rPr>
          <w:rFonts w:cs="Arial"/>
        </w:rPr>
        <w:t xml:space="preserve"> in the year.  The version in place as at the end of the year was dated </w:t>
      </w:r>
      <w:r w:rsidR="00BC5E2B">
        <w:rPr>
          <w:rFonts w:cs="Arial"/>
        </w:rPr>
        <w:t>September</w:t>
      </w:r>
      <w:r w:rsidR="005D5187">
        <w:rPr>
          <w:rFonts w:cs="Arial"/>
        </w:rPr>
        <w:t xml:space="preserve"> 2020. </w:t>
      </w:r>
      <w:r w:rsidR="00BE4996">
        <w:rPr>
          <w:rFonts w:cs="Arial"/>
        </w:rPr>
        <w:t xml:space="preserve">This update incorporated new </w:t>
      </w:r>
      <w:r w:rsidR="00BE4996">
        <w:t>policies in relation to voting and engagement.</w:t>
      </w:r>
    </w:p>
    <w:p w14:paraId="60AE6382" w14:textId="4BF60B26" w:rsidR="00604948" w:rsidRDefault="005D5187" w:rsidP="006551AC">
      <w:pPr>
        <w:pStyle w:val="Heading4"/>
        <w:numPr>
          <w:ilvl w:val="0"/>
          <w:numId w:val="0"/>
        </w:numPr>
        <w:rPr>
          <w:rFonts w:cs="Arial"/>
          <w:color w:val="FF0000"/>
          <w:szCs w:val="20"/>
        </w:rPr>
      </w:pPr>
      <w:r>
        <w:rPr>
          <w:rFonts w:cs="Arial"/>
        </w:rPr>
        <w:t xml:space="preserve">For the purpose of assessing how the </w:t>
      </w:r>
      <w:r w:rsidR="002079F9">
        <w:rPr>
          <w:rFonts w:cs="Arial"/>
        </w:rPr>
        <w:t>Scheme’s</w:t>
      </w:r>
      <w:r>
        <w:rPr>
          <w:rFonts w:cs="Arial"/>
        </w:rPr>
        <w:t xml:space="preserve"> SIP has been followed, this statement specifically focusses on the SIP agreed in </w:t>
      </w:r>
      <w:r w:rsidR="00BC5E2B">
        <w:rPr>
          <w:rFonts w:cs="Arial"/>
        </w:rPr>
        <w:t>September</w:t>
      </w:r>
      <w:r>
        <w:rPr>
          <w:rFonts w:cs="Arial"/>
        </w:rPr>
        <w:t xml:space="preserve"> 2020.  We consider that all SIP policies and principles relevant to this statement were adhered to.</w:t>
      </w:r>
      <w:r w:rsidR="006551AC">
        <w:rPr>
          <w:rFonts w:cs="Arial"/>
        </w:rPr>
        <w:t xml:space="preserve"> </w:t>
      </w:r>
      <w:bookmarkStart w:id="1" w:name="_GoBack"/>
      <w:bookmarkEnd w:id="1"/>
    </w:p>
    <w:p w14:paraId="2F9D1DFD" w14:textId="77777777" w:rsidR="000D3A15" w:rsidRPr="0069354A" w:rsidRDefault="000D3A15">
      <w:pPr>
        <w:rPr>
          <w:rFonts w:cs="Arial"/>
        </w:rPr>
      </w:pPr>
    </w:p>
    <w:p w14:paraId="0F1DEB1A" w14:textId="77777777" w:rsidR="00B20133" w:rsidRPr="0069354A" w:rsidRDefault="00B20133" w:rsidP="00B20133">
      <w:pPr>
        <w:spacing w:after="160" w:line="259" w:lineRule="auto"/>
        <w:rPr>
          <w:rFonts w:cs="Arial"/>
          <w:color w:val="FF0000"/>
        </w:rPr>
      </w:pPr>
    </w:p>
    <w:p w14:paraId="632C5A67" w14:textId="5476393C" w:rsidR="00A47579" w:rsidRPr="00EA0D3D" w:rsidRDefault="00B20133" w:rsidP="00B20133">
      <w:pPr>
        <w:pStyle w:val="Heading1"/>
        <w:pageBreakBefore/>
        <w:spacing w:before="240" w:after="0" w:line="259" w:lineRule="auto"/>
        <w:rPr>
          <w:color w:val="7030A0"/>
          <w:sz w:val="40"/>
          <w:szCs w:val="24"/>
        </w:rPr>
      </w:pPr>
      <w:bookmarkStart w:id="2" w:name="_Toc53387168"/>
      <w:r w:rsidRPr="00EA0D3D">
        <w:rPr>
          <w:color w:val="7030A0"/>
          <w:sz w:val="40"/>
          <w:szCs w:val="24"/>
        </w:rPr>
        <w:lastRenderedPageBreak/>
        <w:t xml:space="preserve">Section 2: </w:t>
      </w:r>
      <w:r w:rsidR="00C241D0">
        <w:rPr>
          <w:color w:val="7030A0"/>
          <w:sz w:val="40"/>
          <w:szCs w:val="24"/>
        </w:rPr>
        <w:t xml:space="preserve">How the Trustee has adhered to its engagement and voting policies </w:t>
      </w:r>
      <w:bookmarkEnd w:id="2"/>
    </w:p>
    <w:p w14:paraId="3F064CF2" w14:textId="056959B2" w:rsidR="00552CA1" w:rsidRDefault="00552CA1" w:rsidP="00552CA1">
      <w:pPr>
        <w:pStyle w:val="BodyText"/>
      </w:pPr>
    </w:p>
    <w:p w14:paraId="58E0C755" w14:textId="1397900D" w:rsidR="005D5187" w:rsidRDefault="005D5187" w:rsidP="00552CA1">
      <w:pPr>
        <w:pStyle w:val="BodyText"/>
      </w:pPr>
      <w:r>
        <w:t>Consistent with the Trustee’s view that ESG factors can have a significant impact on investment returns, particularly over the long-</w:t>
      </w:r>
      <w:r w:rsidR="00F63A27">
        <w:t>term</w:t>
      </w:r>
      <w:r>
        <w:t>, the Fiduciary Manager believes that sustainability forms the cornerstone of successful long-term investment strategies and has fully embedded the consideration of ESG factors into its process.</w:t>
      </w:r>
    </w:p>
    <w:p w14:paraId="23A9F3E3" w14:textId="0F0082DB" w:rsidR="002556AF" w:rsidRPr="002556AF" w:rsidRDefault="002556AF" w:rsidP="00552CA1">
      <w:pPr>
        <w:pStyle w:val="BodyText"/>
        <w:rPr>
          <w:u w:val="single"/>
        </w:rPr>
      </w:pPr>
      <w:r w:rsidRPr="002556AF">
        <w:rPr>
          <w:u w:val="single"/>
        </w:rPr>
        <w:t>Industry wide / public policy engagement</w:t>
      </w:r>
    </w:p>
    <w:p w14:paraId="34D31F8E" w14:textId="3FB63323" w:rsidR="002556AF" w:rsidRDefault="002556AF" w:rsidP="00552CA1">
      <w:pPr>
        <w:pStyle w:val="BodyText"/>
      </w:pPr>
      <w:r>
        <w:t>Regarding engagement, the Trustee’s SIP states that:</w:t>
      </w:r>
    </w:p>
    <w:p w14:paraId="1C92A3C4" w14:textId="52D97A05" w:rsidR="002556AF" w:rsidRDefault="002556AF" w:rsidP="002556AF">
      <w:pPr>
        <w:autoSpaceDE w:val="0"/>
        <w:autoSpaceDN w:val="0"/>
        <w:adjustRightInd w:val="0"/>
        <w:rPr>
          <w:rFonts w:cs="Arial"/>
          <w:szCs w:val="20"/>
        </w:rPr>
      </w:pPr>
      <w:r>
        <w:rPr>
          <w:rFonts w:cs="Arial"/>
          <w:szCs w:val="20"/>
        </w:rPr>
        <w:t>“</w:t>
      </w:r>
      <w:r w:rsidR="00BE4996" w:rsidRPr="00BE4996">
        <w:rPr>
          <w:rFonts w:cs="Arial"/>
          <w:szCs w:val="20"/>
        </w:rPr>
        <w:t xml:space="preserve">The Fiduciary Manager considers a range of sustainable investment factors, such as, but not limited to, those arising from ESG considerations, including climate change, in the context of a broader risk management framework. The degree to which these factors are relevant to any given strategy is a function of time horizon, investment style, philosophy and </w:t>
      </w:r>
      <w:r w:rsidR="00F63A27" w:rsidRPr="00BE4996">
        <w:rPr>
          <w:rFonts w:cs="Arial"/>
          <w:szCs w:val="20"/>
        </w:rPr>
        <w:t>exposures</w:t>
      </w:r>
      <w:r w:rsidR="00BE4996" w:rsidRPr="00BE4996">
        <w:rPr>
          <w:rFonts w:cs="Arial"/>
          <w:szCs w:val="20"/>
        </w:rPr>
        <w:t xml:space="preserve"> which the Fiduciary Manager takes into account in the assessment.</w:t>
      </w:r>
    </w:p>
    <w:p w14:paraId="76980314" w14:textId="77777777" w:rsidR="00BE4996" w:rsidRDefault="00BE4996" w:rsidP="002556AF">
      <w:pPr>
        <w:autoSpaceDE w:val="0"/>
        <w:autoSpaceDN w:val="0"/>
        <w:adjustRightInd w:val="0"/>
        <w:rPr>
          <w:rFonts w:cs="Arial"/>
          <w:szCs w:val="20"/>
        </w:rPr>
      </w:pPr>
    </w:p>
    <w:p w14:paraId="5F4ECB09" w14:textId="278006CD" w:rsidR="002556AF" w:rsidRDefault="00BE4996" w:rsidP="002556AF">
      <w:r w:rsidRPr="00BE4996">
        <w:t>The Fiduciary Manager encourages and expects the Scheme’s investment managers to sign up to local or other applicable stewardship codes, in-keeping with good practice, subject to the extent of materiality for certain asset classes. The Fiduciary Manager itself is a signatory to the Principles for Responsible Investment and the UK Stewardship Code and is actively involved in external collaborations and initiatives.</w:t>
      </w:r>
    </w:p>
    <w:p w14:paraId="0FC0C1EF" w14:textId="77777777" w:rsidR="00BE4996" w:rsidRPr="002556AF" w:rsidRDefault="00BE4996" w:rsidP="002556AF">
      <w:pPr>
        <w:rPr>
          <w:szCs w:val="20"/>
        </w:rPr>
      </w:pPr>
    </w:p>
    <w:p w14:paraId="6CD00AFB" w14:textId="17067045" w:rsidR="002556AF" w:rsidRPr="002556AF" w:rsidRDefault="002556AF" w:rsidP="002556AF">
      <w:pPr>
        <w:rPr>
          <w:szCs w:val="20"/>
        </w:rPr>
      </w:pPr>
      <w:r w:rsidRPr="002556AF">
        <w:rPr>
          <w:szCs w:val="20"/>
        </w:rPr>
        <w:t>The Trustee’s policy is to delegate responsibility for the exercising of rights (including voting rights) attaching to investments to the investment managers.”</w:t>
      </w:r>
    </w:p>
    <w:p w14:paraId="07507B4B" w14:textId="77777777" w:rsidR="002556AF" w:rsidRPr="002556AF" w:rsidRDefault="002556AF" w:rsidP="002556AF">
      <w:pPr>
        <w:rPr>
          <w:szCs w:val="20"/>
        </w:rPr>
      </w:pPr>
    </w:p>
    <w:p w14:paraId="326B0B43" w14:textId="6E221856" w:rsidR="002556AF" w:rsidRDefault="002556AF" w:rsidP="002556AF">
      <w:pPr>
        <w:rPr>
          <w:szCs w:val="20"/>
        </w:rPr>
      </w:pPr>
      <w:r w:rsidRPr="002556AF">
        <w:rPr>
          <w:rFonts w:eastAsiaTheme="minorEastAsia"/>
          <w:szCs w:val="20"/>
        </w:rPr>
        <w:t>The Fiduciary Manager has partnered with EOS at Federated Hermes (EOS) to undertake public policy engagement on behalf of its clients (including the Trustee)</w:t>
      </w:r>
      <w:r w:rsidR="00AF2644">
        <w:rPr>
          <w:rFonts w:eastAsiaTheme="minorEastAsia"/>
          <w:szCs w:val="20"/>
        </w:rPr>
        <w:t xml:space="preserve">.  </w:t>
      </w:r>
      <w:r w:rsidRPr="002556AF">
        <w:rPr>
          <w:rFonts w:eastAsiaTheme="minorEastAsia"/>
          <w:szCs w:val="20"/>
        </w:rPr>
        <w:t>T</w:t>
      </w:r>
      <w:r w:rsidRPr="002556AF">
        <w:rPr>
          <w:szCs w:val="20"/>
        </w:rPr>
        <w:t xml:space="preserve">he Fiduciary Manager communicates client policies/sentiment to EOS on a regular basis, including via the Client Advisory Board (currently chaired by Willis Towers Watson) and </w:t>
      </w:r>
      <w:r w:rsidRPr="002556AF">
        <w:rPr>
          <w:rFonts w:eastAsiaTheme="minorEastAsia"/>
          <w:szCs w:val="20"/>
        </w:rPr>
        <w:t xml:space="preserve">EOS subsequently engages with legislators, regulators, industry bodies and other standard-setters to shape capital markets and the environment in which companies and their investors operate, a key element of which is risk related to climate change. </w:t>
      </w:r>
      <w:r w:rsidRPr="002556AF">
        <w:rPr>
          <w:szCs w:val="20"/>
        </w:rPr>
        <w:t>Engagement activities by EOS on public policy over the year included:</w:t>
      </w:r>
    </w:p>
    <w:p w14:paraId="59EDBDB5" w14:textId="77777777" w:rsidR="00DB4F02" w:rsidRPr="002556AF" w:rsidRDefault="00DB4F02" w:rsidP="002556AF">
      <w:pPr>
        <w:rPr>
          <w:rFonts w:eastAsiaTheme="minorEastAsia"/>
          <w:szCs w:val="20"/>
        </w:rPr>
      </w:pPr>
    </w:p>
    <w:p w14:paraId="0AE59D74" w14:textId="1720A65E" w:rsidR="00DB4F02" w:rsidRPr="00DB4F02" w:rsidRDefault="002556AF" w:rsidP="002556AF">
      <w:pPr>
        <w:pStyle w:val="ListParagraph"/>
        <w:numPr>
          <w:ilvl w:val="0"/>
          <w:numId w:val="56"/>
        </w:numPr>
        <w:rPr>
          <w:szCs w:val="20"/>
        </w:rPr>
      </w:pPr>
      <w:r w:rsidRPr="00DB4F02">
        <w:rPr>
          <w:szCs w:val="20"/>
        </w:rPr>
        <w:t>Participation in a series of meetings with the UK Government’s Department for Business, Energy and Industrial Strategy in order to help set out the UK’s decarbonization roadmap and steps to achieve agreed climate targets;</w:t>
      </w:r>
    </w:p>
    <w:p w14:paraId="2289A343" w14:textId="436DD12A" w:rsidR="00DB4F02" w:rsidRPr="00DB4F02" w:rsidRDefault="002556AF" w:rsidP="002556AF">
      <w:pPr>
        <w:pStyle w:val="ListParagraph"/>
        <w:numPr>
          <w:ilvl w:val="0"/>
          <w:numId w:val="56"/>
        </w:numPr>
        <w:rPr>
          <w:szCs w:val="20"/>
        </w:rPr>
      </w:pPr>
      <w:r w:rsidRPr="00DB4F02">
        <w:rPr>
          <w:szCs w:val="20"/>
        </w:rPr>
        <w:t>Feedback/assistance on the production of a new anti-microbial resistance benchmark with the aim of reducing the use of anti-biotics in agriculture;</w:t>
      </w:r>
    </w:p>
    <w:p w14:paraId="2DADA787" w14:textId="6E006D36" w:rsidR="00DB4F02" w:rsidRPr="00DB4F02" w:rsidRDefault="002556AF" w:rsidP="002556AF">
      <w:pPr>
        <w:pStyle w:val="ListParagraph"/>
        <w:numPr>
          <w:ilvl w:val="0"/>
          <w:numId w:val="56"/>
        </w:numPr>
        <w:rPr>
          <w:szCs w:val="20"/>
        </w:rPr>
      </w:pPr>
      <w:r w:rsidRPr="00DB4F02">
        <w:rPr>
          <w:szCs w:val="20"/>
        </w:rPr>
        <w:t>Co-signing of an investor letter to the Brazilian government in support of the Amazon Soy Moratorium, an agreement which aims to limit damage and deforestation caused by soy production, supporting expansion only on existing agricultural land;</w:t>
      </w:r>
    </w:p>
    <w:p w14:paraId="64665845" w14:textId="7A00A6DA" w:rsidR="002556AF" w:rsidRPr="00DB4F02" w:rsidRDefault="0034127A" w:rsidP="00DB4F02">
      <w:pPr>
        <w:pStyle w:val="ListParagraph"/>
        <w:numPr>
          <w:ilvl w:val="0"/>
          <w:numId w:val="56"/>
        </w:numPr>
        <w:rPr>
          <w:szCs w:val="20"/>
        </w:rPr>
      </w:pPr>
      <w:hyperlink r:id="rId14" w:history="1">
        <w:r w:rsidR="002556AF" w:rsidRPr="00DB4F02">
          <w:rPr>
            <w:rStyle w:val="Hyperlink"/>
            <w:szCs w:val="20"/>
          </w:rPr>
          <w:t>Climate Action 100+</w:t>
        </w:r>
      </w:hyperlink>
      <w:r w:rsidR="002556AF" w:rsidRPr="00DB4F02">
        <w:rPr>
          <w:szCs w:val="20"/>
        </w:rPr>
        <w:t xml:space="preserve">, an investor initiative aiming to ensure the world’s largest corporate greenhouse gas emitters take necessary action on climate change. EOS is among over 370 investors with over $35tn under management who have signed up to the initiative. Further, they are leading or co-leading the engagement on 27 companies and collaborating with other investors on another 14 companies as part of this initiative. </w:t>
      </w:r>
    </w:p>
    <w:p w14:paraId="060DFDF9" w14:textId="77777777" w:rsidR="00DB4F02" w:rsidRPr="002556AF" w:rsidRDefault="00DB4F02" w:rsidP="002556AF">
      <w:pPr>
        <w:rPr>
          <w:szCs w:val="20"/>
        </w:rPr>
      </w:pPr>
    </w:p>
    <w:p w14:paraId="45554993" w14:textId="216AA73B" w:rsidR="002556AF" w:rsidRDefault="002556AF" w:rsidP="002556AF">
      <w:pPr>
        <w:rPr>
          <w:szCs w:val="20"/>
        </w:rPr>
      </w:pPr>
      <w:r w:rsidRPr="002556AF">
        <w:rPr>
          <w:rFonts w:eastAsiaTheme="minorEastAsia"/>
          <w:szCs w:val="20"/>
        </w:rPr>
        <w:t xml:space="preserve">The Fiduciary Manager is also </w:t>
      </w:r>
      <w:r w:rsidRPr="002556AF">
        <w:rPr>
          <w:szCs w:val="20"/>
        </w:rPr>
        <w:t xml:space="preserve">engaged in </w:t>
      </w:r>
      <w:proofErr w:type="gramStart"/>
      <w:r w:rsidRPr="002556AF">
        <w:rPr>
          <w:szCs w:val="20"/>
        </w:rPr>
        <w:t>a number of</w:t>
      </w:r>
      <w:proofErr w:type="gramEnd"/>
      <w:r w:rsidRPr="002556AF">
        <w:rPr>
          <w:szCs w:val="20"/>
        </w:rPr>
        <w:t xml:space="preserve"> industry wide initiatives and collaborative engagements including:</w:t>
      </w:r>
    </w:p>
    <w:p w14:paraId="139E4A98" w14:textId="77777777" w:rsidR="00DB4F02" w:rsidRPr="002556AF" w:rsidRDefault="00DB4F02" w:rsidP="002556AF">
      <w:pPr>
        <w:rPr>
          <w:szCs w:val="20"/>
        </w:rPr>
      </w:pPr>
    </w:p>
    <w:p w14:paraId="027FC6C9" w14:textId="77777777" w:rsidR="00DB4F02" w:rsidRPr="00DB4F02" w:rsidRDefault="002556AF" w:rsidP="00DB4F02">
      <w:pPr>
        <w:pStyle w:val="ListParagraph"/>
        <w:numPr>
          <w:ilvl w:val="0"/>
          <w:numId w:val="57"/>
        </w:numPr>
        <w:rPr>
          <w:szCs w:val="20"/>
        </w:rPr>
      </w:pPr>
      <w:r w:rsidRPr="00DB4F02">
        <w:rPr>
          <w:szCs w:val="20"/>
        </w:rPr>
        <w:t>Tier 1 signatory of the UK Stewardship Code;</w:t>
      </w:r>
    </w:p>
    <w:p w14:paraId="349B0FA4" w14:textId="56980974" w:rsidR="00DB4F02" w:rsidRPr="00DB4F02" w:rsidRDefault="201311A0" w:rsidP="0D3D5278">
      <w:pPr>
        <w:pStyle w:val="ListParagraph"/>
        <w:numPr>
          <w:ilvl w:val="0"/>
          <w:numId w:val="57"/>
        </w:numPr>
        <w:rPr>
          <w:rFonts w:asciiTheme="minorHAnsi" w:eastAsiaTheme="minorEastAsia" w:hAnsiTheme="minorHAnsi" w:cstheme="minorBidi"/>
          <w:szCs w:val="20"/>
        </w:rPr>
      </w:pPr>
      <w:r>
        <w:t>A signatory of the Principles for Responsible Investment (PRI) and active member of their Stewardship Advisory Committee</w:t>
      </w:r>
      <w:r w:rsidR="002556AF">
        <w:t>;</w:t>
      </w:r>
    </w:p>
    <w:p w14:paraId="6DFCE09C" w14:textId="77777777" w:rsidR="002556AF" w:rsidRPr="00DB4F02" w:rsidRDefault="002556AF" w:rsidP="00DB4F02">
      <w:pPr>
        <w:pStyle w:val="ListParagraph"/>
        <w:numPr>
          <w:ilvl w:val="0"/>
          <w:numId w:val="57"/>
        </w:numPr>
        <w:rPr>
          <w:szCs w:val="20"/>
        </w:rPr>
      </w:pPr>
      <w:r w:rsidRPr="00DB4F02">
        <w:rPr>
          <w:szCs w:val="20"/>
        </w:rPr>
        <w:t>A member of the Institutional Investors Group on Climate Change (IIGCC);</w:t>
      </w:r>
    </w:p>
    <w:p w14:paraId="1941B8DD" w14:textId="77777777" w:rsidR="002556AF" w:rsidRPr="00DB4F02" w:rsidRDefault="002556AF" w:rsidP="00DB4F02">
      <w:pPr>
        <w:pStyle w:val="ListParagraph"/>
        <w:numPr>
          <w:ilvl w:val="0"/>
          <w:numId w:val="57"/>
        </w:numPr>
        <w:rPr>
          <w:szCs w:val="20"/>
        </w:rPr>
      </w:pPr>
      <w:r w:rsidRPr="00DB4F02">
        <w:rPr>
          <w:szCs w:val="20"/>
        </w:rPr>
        <w:t>A founder of the Coalition for Climate Resilient Investment (with the World Economic Forum).</w:t>
      </w:r>
    </w:p>
    <w:p w14:paraId="6BC645B0" w14:textId="77777777" w:rsidR="00DB4F02" w:rsidRDefault="00DB4F02" w:rsidP="00DB4F02">
      <w:pPr>
        <w:rPr>
          <w:rFonts w:eastAsiaTheme="minorHAnsi"/>
          <w:szCs w:val="20"/>
        </w:rPr>
      </w:pPr>
    </w:p>
    <w:p w14:paraId="095DA7F7" w14:textId="740D16D5" w:rsidR="002556AF" w:rsidRPr="00DB4F02" w:rsidRDefault="002556AF" w:rsidP="00DB4F02">
      <w:pPr>
        <w:rPr>
          <w:rFonts w:eastAsiaTheme="minorHAnsi"/>
          <w:szCs w:val="20"/>
        </w:rPr>
      </w:pPr>
      <w:r w:rsidRPr="00DB4F02">
        <w:rPr>
          <w:rFonts w:eastAsiaTheme="minorHAnsi"/>
          <w:szCs w:val="20"/>
        </w:rPr>
        <w:lastRenderedPageBreak/>
        <w:t xml:space="preserve">The Fiduciary Manager engages with the </w:t>
      </w:r>
      <w:r w:rsidR="00BE4996">
        <w:rPr>
          <w:rFonts w:eastAsiaTheme="minorHAnsi"/>
          <w:szCs w:val="20"/>
        </w:rPr>
        <w:t>Scheme’s</w:t>
      </w:r>
      <w:r w:rsidRPr="00DB4F02">
        <w:rPr>
          <w:rFonts w:eastAsiaTheme="minorHAnsi"/>
          <w:szCs w:val="20"/>
        </w:rPr>
        <w:t xml:space="preserve"> investment managers on behalf of the Trustee. The Trustee</w:t>
      </w:r>
      <w:r w:rsidR="00DB4F02">
        <w:rPr>
          <w:rFonts w:eastAsiaTheme="minorHAnsi"/>
          <w:szCs w:val="20"/>
        </w:rPr>
        <w:t xml:space="preserve"> has </w:t>
      </w:r>
      <w:r w:rsidRPr="00DB4F02">
        <w:rPr>
          <w:rFonts w:eastAsiaTheme="minorHAnsi"/>
          <w:szCs w:val="20"/>
        </w:rPr>
        <w:t xml:space="preserve">considered and reviewed their stewardship and engagement policies as part of the recent reviews of their Statement of Investment Principles. </w:t>
      </w:r>
    </w:p>
    <w:p w14:paraId="6901729D" w14:textId="77777777" w:rsidR="002556AF" w:rsidRPr="002556AF" w:rsidRDefault="002556AF" w:rsidP="002556AF">
      <w:pPr>
        <w:rPr>
          <w:rFonts w:eastAsiaTheme="minorHAnsi"/>
          <w:szCs w:val="20"/>
        </w:rPr>
      </w:pPr>
    </w:p>
    <w:p w14:paraId="7796E09A" w14:textId="1222B1A5" w:rsidR="002556AF" w:rsidRDefault="002556AF" w:rsidP="002556AF">
      <w:pPr>
        <w:rPr>
          <w:rFonts w:eastAsiaTheme="minorEastAsia"/>
          <w:szCs w:val="20"/>
        </w:rPr>
      </w:pPr>
      <w:r w:rsidRPr="002556AF">
        <w:rPr>
          <w:szCs w:val="20"/>
        </w:rPr>
        <w:t xml:space="preserve">The Fiduciary Manager’s process for selecting, monitoring and de-selecting investment managers explicitly and formally includes an assessment of a manager’s approach to sustainable investment (recognising that the degree to which these factors are relevant to any given strategy is a function of time horizon, investment style, philosophy and exposures). </w:t>
      </w:r>
      <w:r w:rsidRPr="002556AF">
        <w:rPr>
          <w:rFonts w:eastAsiaTheme="minorEastAsia"/>
          <w:szCs w:val="20"/>
        </w:rPr>
        <w:t xml:space="preserve">The </w:t>
      </w:r>
      <w:r w:rsidR="002079F9">
        <w:rPr>
          <w:rFonts w:eastAsiaTheme="minorEastAsia"/>
          <w:szCs w:val="20"/>
        </w:rPr>
        <w:t>Scheme</w:t>
      </w:r>
      <w:r w:rsidRPr="002556AF">
        <w:rPr>
          <w:rFonts w:eastAsiaTheme="minorEastAsia"/>
          <w:szCs w:val="20"/>
        </w:rPr>
        <w:t xml:space="preserve"> is invested across a diverse range of asset classes which carry different ownership rights. This document focusses on the equity holdings, which have voting rights attached. </w:t>
      </w:r>
    </w:p>
    <w:p w14:paraId="03E603F1" w14:textId="77777777" w:rsidR="00DB4F02" w:rsidRPr="002556AF" w:rsidRDefault="00DB4F02" w:rsidP="002556AF">
      <w:pPr>
        <w:rPr>
          <w:rFonts w:eastAsiaTheme="minorEastAsia"/>
          <w:szCs w:val="20"/>
        </w:rPr>
      </w:pPr>
    </w:p>
    <w:p w14:paraId="3FF63400" w14:textId="12BFEDF5" w:rsidR="00BE4996" w:rsidRDefault="002556AF" w:rsidP="002556AF">
      <w:pPr>
        <w:rPr>
          <w:rFonts w:eastAsiaTheme="minorHAnsi"/>
          <w:szCs w:val="20"/>
        </w:rPr>
      </w:pPr>
      <w:r w:rsidRPr="002556AF">
        <w:rPr>
          <w:rFonts w:eastAsiaTheme="minorHAnsi"/>
          <w:szCs w:val="20"/>
        </w:rPr>
        <w:t xml:space="preserve">The </w:t>
      </w:r>
      <w:r w:rsidR="002079F9">
        <w:rPr>
          <w:rFonts w:eastAsiaTheme="minorHAnsi"/>
          <w:szCs w:val="20"/>
        </w:rPr>
        <w:t>Scheme’s</w:t>
      </w:r>
      <w:r w:rsidRPr="002556AF">
        <w:rPr>
          <w:rFonts w:eastAsiaTheme="minorHAnsi"/>
          <w:szCs w:val="20"/>
        </w:rPr>
        <w:t xml:space="preserve"> equity holdings as at the end of the year were held within the</w:t>
      </w:r>
      <w:r w:rsidR="00BE4996">
        <w:rPr>
          <w:rFonts w:eastAsiaTheme="minorHAnsi"/>
          <w:szCs w:val="20"/>
        </w:rPr>
        <w:t xml:space="preserve"> following </w:t>
      </w:r>
      <w:r w:rsidR="00357027">
        <w:rPr>
          <w:rFonts w:eastAsiaTheme="minorHAnsi"/>
          <w:szCs w:val="20"/>
        </w:rPr>
        <w:t>four</w:t>
      </w:r>
      <w:r w:rsidR="00BE4996">
        <w:rPr>
          <w:rFonts w:eastAsiaTheme="minorHAnsi"/>
          <w:szCs w:val="20"/>
        </w:rPr>
        <w:t xml:space="preserve"> poo</w:t>
      </w:r>
      <w:r w:rsidR="006820BD">
        <w:rPr>
          <w:rFonts w:eastAsiaTheme="minorHAnsi"/>
          <w:szCs w:val="20"/>
        </w:rPr>
        <w:t>l</w:t>
      </w:r>
      <w:r w:rsidR="00BE4996">
        <w:rPr>
          <w:rFonts w:eastAsiaTheme="minorHAnsi"/>
          <w:szCs w:val="20"/>
        </w:rPr>
        <w:t>ed investment vehicles:</w:t>
      </w:r>
    </w:p>
    <w:p w14:paraId="7D04FC45" w14:textId="144268ED" w:rsidR="00BE4996" w:rsidRPr="00BE4996" w:rsidRDefault="00BE4996" w:rsidP="00BE4996">
      <w:pPr>
        <w:pStyle w:val="ListParagraph"/>
        <w:numPr>
          <w:ilvl w:val="0"/>
          <w:numId w:val="58"/>
        </w:numPr>
        <w:rPr>
          <w:rFonts w:eastAsiaTheme="minorHAnsi"/>
          <w:lang w:val="en-US"/>
        </w:rPr>
      </w:pPr>
      <w:r w:rsidRPr="00BE4996">
        <w:rPr>
          <w:rFonts w:eastAsiaTheme="minorHAnsi"/>
          <w:szCs w:val="20"/>
        </w:rPr>
        <w:t>Legal &amp; General Investment Management (LGIM)</w:t>
      </w:r>
      <w:r w:rsidR="002556AF" w:rsidRPr="00BE4996">
        <w:rPr>
          <w:rFonts w:eastAsiaTheme="minorHAnsi"/>
          <w:szCs w:val="20"/>
        </w:rPr>
        <w:t xml:space="preserve"> </w:t>
      </w:r>
      <w:r w:rsidR="007548BD" w:rsidRPr="007548BD">
        <w:rPr>
          <w:rFonts w:eastAsiaTheme="minorHAnsi"/>
          <w:szCs w:val="20"/>
        </w:rPr>
        <w:t>Adaptive Cap ESG Equity Fund</w:t>
      </w:r>
    </w:p>
    <w:p w14:paraId="68E6FA23" w14:textId="04372505" w:rsidR="00BE4996" w:rsidRPr="006820BD" w:rsidRDefault="00333A36" w:rsidP="00333A36">
      <w:pPr>
        <w:pStyle w:val="ListParagraph"/>
        <w:numPr>
          <w:ilvl w:val="0"/>
          <w:numId w:val="58"/>
        </w:numPr>
        <w:rPr>
          <w:rFonts w:eastAsiaTheme="minorHAnsi"/>
          <w:lang w:val="en-US"/>
        </w:rPr>
      </w:pPr>
      <w:r w:rsidRPr="00BE4996">
        <w:rPr>
          <w:rFonts w:eastAsiaTheme="minorHAnsi"/>
          <w:szCs w:val="20"/>
        </w:rPr>
        <w:t xml:space="preserve">Legal &amp; General Investment Management (LGIM) </w:t>
      </w:r>
      <w:proofErr w:type="spellStart"/>
      <w:r w:rsidR="007548BD" w:rsidRPr="007548BD">
        <w:rPr>
          <w:rFonts w:eastAsiaTheme="minorHAnsi"/>
          <w:szCs w:val="20"/>
        </w:rPr>
        <w:t>Robeco</w:t>
      </w:r>
      <w:proofErr w:type="spellEnd"/>
      <w:r w:rsidR="007548BD" w:rsidRPr="007548BD">
        <w:rPr>
          <w:rFonts w:eastAsiaTheme="minorHAnsi"/>
          <w:szCs w:val="20"/>
        </w:rPr>
        <w:t xml:space="preserve"> Global Sustainable Multi-Factor Equity Fund</w:t>
      </w:r>
    </w:p>
    <w:p w14:paraId="5293E989" w14:textId="78D999C0" w:rsidR="006820BD" w:rsidRDefault="006820BD" w:rsidP="00333A36">
      <w:pPr>
        <w:pStyle w:val="ListParagraph"/>
        <w:numPr>
          <w:ilvl w:val="0"/>
          <w:numId w:val="58"/>
        </w:numPr>
        <w:rPr>
          <w:rFonts w:eastAsiaTheme="minorHAnsi"/>
          <w:lang w:val="en-US"/>
        </w:rPr>
      </w:pPr>
      <w:r w:rsidRPr="00BE4996">
        <w:rPr>
          <w:rFonts w:eastAsiaTheme="minorHAnsi"/>
          <w:szCs w:val="20"/>
        </w:rPr>
        <w:t xml:space="preserve">Legal &amp; General Investment Management (LGIM) </w:t>
      </w:r>
      <w:r w:rsidRPr="006820BD">
        <w:rPr>
          <w:rFonts w:eastAsiaTheme="minorHAnsi"/>
          <w:lang w:val="en-US"/>
        </w:rPr>
        <w:t>Heitman Global Prime Property Fund</w:t>
      </w:r>
    </w:p>
    <w:p w14:paraId="46D05F87" w14:textId="4EEC62E5" w:rsidR="006820BD" w:rsidRPr="00333A36" w:rsidRDefault="006820BD" w:rsidP="00333A36">
      <w:pPr>
        <w:pStyle w:val="ListParagraph"/>
        <w:numPr>
          <w:ilvl w:val="0"/>
          <w:numId w:val="58"/>
        </w:numPr>
        <w:rPr>
          <w:rFonts w:eastAsiaTheme="minorHAnsi"/>
          <w:lang w:val="en-US"/>
        </w:rPr>
      </w:pPr>
      <w:r w:rsidRPr="00BE4996">
        <w:rPr>
          <w:rFonts w:eastAsiaTheme="minorHAnsi"/>
          <w:szCs w:val="20"/>
        </w:rPr>
        <w:t xml:space="preserve">Legal &amp; General Investment Management (LGIM) </w:t>
      </w:r>
      <w:r w:rsidRPr="006820BD">
        <w:rPr>
          <w:rFonts w:eastAsiaTheme="minorHAnsi"/>
          <w:lang w:val="en-US"/>
        </w:rPr>
        <w:t>Infrastructure Equity MFG Fund</w:t>
      </w:r>
    </w:p>
    <w:p w14:paraId="24D1FB80" w14:textId="66AB268C" w:rsidR="00CE0EA8" w:rsidRPr="00BE4996" w:rsidRDefault="002556AF" w:rsidP="00BE4996">
      <w:pPr>
        <w:rPr>
          <w:rFonts w:eastAsiaTheme="minorHAnsi"/>
          <w:lang w:val="en-US"/>
        </w:rPr>
      </w:pPr>
      <w:r w:rsidRPr="00BE4996">
        <w:rPr>
          <w:rFonts w:eastAsiaTheme="minorHAnsi"/>
          <w:szCs w:val="20"/>
        </w:rPr>
        <w:t xml:space="preserve">As such, the voting entitlements in </w:t>
      </w:r>
      <w:r w:rsidR="00333A36">
        <w:rPr>
          <w:rFonts w:eastAsiaTheme="minorHAnsi"/>
          <w:szCs w:val="20"/>
        </w:rPr>
        <w:t>these funds</w:t>
      </w:r>
      <w:r w:rsidRPr="00BE4996">
        <w:rPr>
          <w:rFonts w:eastAsiaTheme="minorHAnsi"/>
          <w:szCs w:val="20"/>
        </w:rPr>
        <w:t xml:space="preserve"> lie with the equity manager</w:t>
      </w:r>
      <w:r w:rsidR="00333A36">
        <w:rPr>
          <w:rFonts w:eastAsiaTheme="minorHAnsi"/>
          <w:szCs w:val="20"/>
        </w:rPr>
        <w:t xml:space="preserve"> LGIM. </w:t>
      </w:r>
      <w:r w:rsidRPr="00BE4996">
        <w:rPr>
          <w:rFonts w:eastAsiaTheme="minorHAnsi"/>
          <w:szCs w:val="20"/>
        </w:rPr>
        <w:t xml:space="preserve">However, the Fiduciary Manager engages with </w:t>
      </w:r>
      <w:r w:rsidR="00333A36">
        <w:rPr>
          <w:rFonts w:eastAsiaTheme="minorHAnsi"/>
          <w:szCs w:val="20"/>
        </w:rPr>
        <w:t>LGIM</w:t>
      </w:r>
      <w:r w:rsidRPr="00BE4996">
        <w:rPr>
          <w:rFonts w:eastAsiaTheme="minorHAnsi"/>
          <w:szCs w:val="20"/>
        </w:rPr>
        <w:t xml:space="preserve"> on areas for development, namely around resourcing, and improving the breadth and depth of corporate engagements</w:t>
      </w:r>
      <w:r w:rsidRPr="00BE4996">
        <w:rPr>
          <w:rFonts w:eastAsiaTheme="minorHAnsi"/>
        </w:rPr>
        <w:t xml:space="preserve">. </w:t>
      </w:r>
    </w:p>
    <w:p w14:paraId="2F9D61E1" w14:textId="4E4A35B7" w:rsidR="00E014D5" w:rsidRDefault="00E014D5" w:rsidP="00A85E03">
      <w:pPr>
        <w:pStyle w:val="BulletList3"/>
        <w:numPr>
          <w:ilvl w:val="0"/>
          <w:numId w:val="0"/>
        </w:numPr>
      </w:pPr>
    </w:p>
    <w:p w14:paraId="0F11670E" w14:textId="2F0830B8" w:rsidR="005D5187" w:rsidRDefault="005D5187" w:rsidP="00A85E03">
      <w:pPr>
        <w:pStyle w:val="BulletList3"/>
        <w:numPr>
          <w:ilvl w:val="0"/>
          <w:numId w:val="0"/>
        </w:numPr>
      </w:pPr>
    </w:p>
    <w:p w14:paraId="6841C6BA" w14:textId="77777777" w:rsidR="00B82225" w:rsidRDefault="00B82225" w:rsidP="00A85E03">
      <w:pPr>
        <w:pStyle w:val="BulletList3"/>
        <w:numPr>
          <w:ilvl w:val="0"/>
          <w:numId w:val="0"/>
        </w:numPr>
      </w:pPr>
    </w:p>
    <w:p w14:paraId="285722CC" w14:textId="31DEB278" w:rsidR="005D5187" w:rsidRDefault="005D5187" w:rsidP="00A85E03">
      <w:pPr>
        <w:pStyle w:val="BulletList3"/>
        <w:numPr>
          <w:ilvl w:val="0"/>
          <w:numId w:val="0"/>
        </w:numPr>
      </w:pPr>
    </w:p>
    <w:p w14:paraId="47716E93" w14:textId="65ABD418" w:rsidR="005D5187" w:rsidRDefault="005D5187" w:rsidP="00A85E03">
      <w:pPr>
        <w:pStyle w:val="BulletList3"/>
        <w:numPr>
          <w:ilvl w:val="0"/>
          <w:numId w:val="0"/>
        </w:numPr>
      </w:pPr>
    </w:p>
    <w:p w14:paraId="0BF47CA1" w14:textId="77777777" w:rsidR="005D5187" w:rsidRDefault="005D5187" w:rsidP="00A85E03">
      <w:pPr>
        <w:pStyle w:val="BulletList3"/>
        <w:numPr>
          <w:ilvl w:val="0"/>
          <w:numId w:val="0"/>
        </w:numPr>
      </w:pPr>
    </w:p>
    <w:p w14:paraId="584FDD33" w14:textId="0AE5CFD6" w:rsidR="00E014D5" w:rsidRDefault="00E014D5" w:rsidP="00A85E03">
      <w:pPr>
        <w:pStyle w:val="BulletList3"/>
        <w:numPr>
          <w:ilvl w:val="0"/>
          <w:numId w:val="0"/>
        </w:numPr>
      </w:pPr>
    </w:p>
    <w:p w14:paraId="2D630435" w14:textId="4AA53953" w:rsidR="00E014D5" w:rsidRDefault="00E014D5" w:rsidP="00A85E03">
      <w:pPr>
        <w:pStyle w:val="BulletList3"/>
        <w:numPr>
          <w:ilvl w:val="0"/>
          <w:numId w:val="0"/>
        </w:numPr>
      </w:pPr>
    </w:p>
    <w:p w14:paraId="3F94F759" w14:textId="50E1F523" w:rsidR="00E014D5" w:rsidRDefault="00E014D5" w:rsidP="00A85E03">
      <w:pPr>
        <w:pStyle w:val="BulletList3"/>
        <w:numPr>
          <w:ilvl w:val="0"/>
          <w:numId w:val="0"/>
        </w:numPr>
      </w:pPr>
    </w:p>
    <w:p w14:paraId="07861776" w14:textId="3E3EB1E1" w:rsidR="00E014D5" w:rsidRDefault="00E014D5" w:rsidP="00A85E03">
      <w:pPr>
        <w:pStyle w:val="BulletList3"/>
        <w:numPr>
          <w:ilvl w:val="0"/>
          <w:numId w:val="0"/>
        </w:numPr>
      </w:pPr>
    </w:p>
    <w:p w14:paraId="063ADE6E" w14:textId="1B73E5B3" w:rsidR="00E014D5" w:rsidRDefault="00E014D5" w:rsidP="00A85E03">
      <w:pPr>
        <w:pStyle w:val="BulletList3"/>
        <w:numPr>
          <w:ilvl w:val="0"/>
          <w:numId w:val="0"/>
        </w:numPr>
      </w:pPr>
    </w:p>
    <w:p w14:paraId="483FBF4C" w14:textId="6F54C1B3" w:rsidR="00E014D5" w:rsidRDefault="00E014D5" w:rsidP="00A85E03">
      <w:pPr>
        <w:pStyle w:val="BulletList3"/>
        <w:numPr>
          <w:ilvl w:val="0"/>
          <w:numId w:val="0"/>
        </w:numPr>
      </w:pPr>
    </w:p>
    <w:p w14:paraId="2197D3E9" w14:textId="060C0200" w:rsidR="00E014D5" w:rsidRDefault="00E014D5" w:rsidP="00A85E03">
      <w:pPr>
        <w:pStyle w:val="BulletList3"/>
        <w:numPr>
          <w:ilvl w:val="0"/>
          <w:numId w:val="0"/>
        </w:numPr>
      </w:pPr>
    </w:p>
    <w:p w14:paraId="15B57AAB" w14:textId="6E2F9C3A" w:rsidR="00E014D5" w:rsidRDefault="00E014D5" w:rsidP="00A85E03">
      <w:pPr>
        <w:pStyle w:val="BulletList3"/>
        <w:numPr>
          <w:ilvl w:val="0"/>
          <w:numId w:val="0"/>
        </w:numPr>
      </w:pPr>
    </w:p>
    <w:p w14:paraId="3389606C" w14:textId="1CA76CF2" w:rsidR="00E014D5" w:rsidRDefault="00E014D5" w:rsidP="00A85E03">
      <w:pPr>
        <w:pStyle w:val="BulletList3"/>
        <w:numPr>
          <w:ilvl w:val="0"/>
          <w:numId w:val="0"/>
        </w:numPr>
      </w:pPr>
    </w:p>
    <w:p w14:paraId="5E0B47C5" w14:textId="545D7906" w:rsidR="00E014D5" w:rsidRDefault="00E014D5" w:rsidP="00A85E03">
      <w:pPr>
        <w:pStyle w:val="BulletList3"/>
        <w:numPr>
          <w:ilvl w:val="0"/>
          <w:numId w:val="0"/>
        </w:numPr>
      </w:pPr>
    </w:p>
    <w:p w14:paraId="20F8C74E" w14:textId="5BDB741A" w:rsidR="00E014D5" w:rsidRDefault="00E014D5" w:rsidP="00A85E03">
      <w:pPr>
        <w:pStyle w:val="BulletList3"/>
        <w:numPr>
          <w:ilvl w:val="0"/>
          <w:numId w:val="0"/>
        </w:numPr>
      </w:pPr>
    </w:p>
    <w:p w14:paraId="5AEAF142" w14:textId="02FAB949" w:rsidR="007548BD" w:rsidRDefault="007548BD">
      <w:pPr>
        <w:spacing w:after="160" w:line="259" w:lineRule="auto"/>
        <w:rPr>
          <w:color w:val="7030A0"/>
          <w:sz w:val="40"/>
        </w:rPr>
      </w:pPr>
    </w:p>
    <w:p w14:paraId="46785676" w14:textId="3BD44F17" w:rsidR="00CE0EA8" w:rsidRPr="00AB47BD" w:rsidRDefault="000C7848" w:rsidP="00CE0EA8">
      <w:pPr>
        <w:pStyle w:val="BodyText"/>
      </w:pPr>
      <w:r w:rsidRPr="00AB47BD">
        <w:rPr>
          <w:color w:val="7030A0"/>
          <w:sz w:val="40"/>
        </w:rPr>
        <w:lastRenderedPageBreak/>
        <w:t>Section 3: Voting information</w:t>
      </w:r>
    </w:p>
    <w:p w14:paraId="7AA10825" w14:textId="7053F8D3" w:rsidR="0083040E" w:rsidRPr="00AB47BD" w:rsidRDefault="00EA0D3D" w:rsidP="0083040E">
      <w:pPr>
        <w:pStyle w:val="BodyText"/>
      </w:pPr>
      <w:r w:rsidRPr="00AB47BD">
        <w:t xml:space="preserve">The </w:t>
      </w:r>
      <w:r w:rsidR="007548BD">
        <w:t>Scheme</w:t>
      </w:r>
      <w:r w:rsidRPr="00AB47BD">
        <w:t xml:space="preserve"> is invested in a diverse range of asset classes</w:t>
      </w:r>
      <w:r w:rsidR="00602FA6" w:rsidRPr="00AB47BD">
        <w:t>. H</w:t>
      </w:r>
      <w:r w:rsidRPr="00AB47BD">
        <w:t>owever, this document focusses on the equity investments which have voting rights attached</w:t>
      </w:r>
      <w:r w:rsidR="00033023" w:rsidRPr="00AB47BD">
        <w:t xml:space="preserve">. The </w:t>
      </w:r>
      <w:r w:rsidR="007548BD">
        <w:t>Scheme</w:t>
      </w:r>
      <w:r w:rsidR="00033023" w:rsidRPr="00AB47BD">
        <w:t xml:space="preserve"> </w:t>
      </w:r>
      <w:r w:rsidR="00950867" w:rsidRPr="00AB47BD">
        <w:t>invested in the following</w:t>
      </w:r>
      <w:r w:rsidR="00033023" w:rsidRPr="00AB47BD">
        <w:t xml:space="preserve"> standalone equity funds </w:t>
      </w:r>
      <w:r w:rsidR="00950867" w:rsidRPr="00AB47BD">
        <w:t>over the year to 31 December 2020.</w:t>
      </w:r>
    </w:p>
    <w:p w14:paraId="15FC5492" w14:textId="77777777" w:rsidR="005F65C2" w:rsidRPr="00AB47BD" w:rsidRDefault="005F65C2" w:rsidP="005F65C2">
      <w:pPr>
        <w:pStyle w:val="ListBullet"/>
        <w:numPr>
          <w:ilvl w:val="0"/>
          <w:numId w:val="0"/>
        </w:numPr>
        <w:rPr>
          <w:rFonts w:ascii="Arial" w:hAnsi="Arial" w:cs="Arial"/>
          <w:sz w:val="20"/>
          <w:szCs w:val="20"/>
          <w:lang w:val="en-GB"/>
        </w:rPr>
      </w:pPr>
    </w:p>
    <w:p w14:paraId="635A06F1" w14:textId="571C4256" w:rsidR="00E014D5" w:rsidRPr="00AB47BD" w:rsidRDefault="00E014D5" w:rsidP="009833E6">
      <w:pPr>
        <w:pStyle w:val="ListBullet"/>
        <w:numPr>
          <w:ilvl w:val="0"/>
          <w:numId w:val="28"/>
        </w:numPr>
        <w:rPr>
          <w:rFonts w:ascii="Arial" w:hAnsi="Arial" w:cs="Arial"/>
          <w:sz w:val="20"/>
          <w:szCs w:val="20"/>
        </w:rPr>
      </w:pPr>
      <w:r w:rsidRPr="00AB47BD">
        <w:rPr>
          <w:rFonts w:ascii="Arial" w:hAnsi="Arial" w:cs="Arial"/>
          <w:b/>
          <w:bCs/>
          <w:sz w:val="20"/>
          <w:szCs w:val="20"/>
          <w:lang w:val="en-GB"/>
        </w:rPr>
        <w:t>LGIM Adaptive Cap ESG Equ</w:t>
      </w:r>
      <w:r w:rsidR="007548BD">
        <w:rPr>
          <w:rFonts w:ascii="Arial" w:hAnsi="Arial" w:cs="Arial"/>
          <w:b/>
          <w:bCs/>
          <w:sz w:val="20"/>
          <w:szCs w:val="20"/>
          <w:lang w:val="en-GB"/>
        </w:rPr>
        <w:t>it</w:t>
      </w:r>
      <w:r w:rsidRPr="00AB47BD">
        <w:rPr>
          <w:rFonts w:ascii="Arial" w:hAnsi="Arial" w:cs="Arial"/>
          <w:b/>
          <w:bCs/>
          <w:sz w:val="20"/>
          <w:szCs w:val="20"/>
          <w:lang w:val="en-GB"/>
        </w:rPr>
        <w:t>y Fund:</w:t>
      </w:r>
      <w:r w:rsidR="00033023" w:rsidRPr="00AB47BD">
        <w:rPr>
          <w:rFonts w:ascii="Arial" w:hAnsi="Arial" w:cs="Arial"/>
          <w:b/>
          <w:bCs/>
          <w:sz w:val="20"/>
          <w:szCs w:val="20"/>
          <w:lang w:val="en-GB"/>
        </w:rPr>
        <w:t xml:space="preserve"> </w:t>
      </w:r>
      <w:r w:rsidR="009833E6" w:rsidRPr="00AB47BD">
        <w:rPr>
          <w:rFonts w:ascii="Arial" w:hAnsi="Arial" w:cs="Arial"/>
          <w:sz w:val="20"/>
          <w:szCs w:val="20"/>
          <w:lang w:val="en-GB"/>
        </w:rPr>
        <w:t>Global equity index fund which includes considerations to</w:t>
      </w:r>
      <w:r w:rsidR="009833E6" w:rsidRPr="00AB47BD">
        <w:rPr>
          <w:rFonts w:ascii="Arial" w:hAnsi="Arial" w:cs="Arial"/>
          <w:sz w:val="20"/>
          <w:szCs w:val="20"/>
        </w:rPr>
        <w:t xml:space="preserve"> climate change and sustaina</w:t>
      </w:r>
      <w:r w:rsidR="00AB47BD" w:rsidRPr="00AB47BD">
        <w:rPr>
          <w:rFonts w:ascii="Arial" w:hAnsi="Arial" w:cs="Arial"/>
          <w:sz w:val="20"/>
          <w:szCs w:val="20"/>
        </w:rPr>
        <w:t>b</w:t>
      </w:r>
      <w:r w:rsidR="009833E6" w:rsidRPr="00AB47BD">
        <w:rPr>
          <w:rFonts w:ascii="Arial" w:hAnsi="Arial" w:cs="Arial"/>
          <w:sz w:val="20"/>
          <w:szCs w:val="20"/>
        </w:rPr>
        <w:t xml:space="preserve">le investment factors through allocation weightings and exclusions. </w:t>
      </w:r>
    </w:p>
    <w:p w14:paraId="5FEC5D5A" w14:textId="55E78987" w:rsidR="00950867" w:rsidRPr="00AB47BD" w:rsidRDefault="00950867" w:rsidP="009833E6">
      <w:pPr>
        <w:pStyle w:val="ListBullet"/>
        <w:numPr>
          <w:ilvl w:val="0"/>
          <w:numId w:val="28"/>
        </w:numPr>
        <w:rPr>
          <w:rFonts w:ascii="Arial" w:hAnsi="Arial" w:cs="Arial"/>
          <w:sz w:val="20"/>
          <w:szCs w:val="20"/>
        </w:rPr>
      </w:pPr>
      <w:r w:rsidRPr="00AB47BD">
        <w:rPr>
          <w:rFonts w:ascii="Arial" w:hAnsi="Arial" w:cs="Arial"/>
          <w:b/>
          <w:bCs/>
          <w:sz w:val="20"/>
          <w:szCs w:val="20"/>
          <w:lang w:val="en-GB"/>
        </w:rPr>
        <w:t xml:space="preserve">LGIM </w:t>
      </w:r>
      <w:proofErr w:type="spellStart"/>
      <w:r w:rsidRPr="00AB47BD">
        <w:rPr>
          <w:rFonts w:ascii="Arial" w:hAnsi="Arial" w:cs="Arial"/>
          <w:b/>
          <w:bCs/>
          <w:sz w:val="20"/>
          <w:szCs w:val="20"/>
          <w:lang w:val="en-GB"/>
        </w:rPr>
        <w:t>Robeco</w:t>
      </w:r>
      <w:proofErr w:type="spellEnd"/>
      <w:r w:rsidRPr="00AB47BD">
        <w:rPr>
          <w:rFonts w:ascii="Arial" w:hAnsi="Arial" w:cs="Arial"/>
          <w:b/>
          <w:bCs/>
          <w:sz w:val="20"/>
          <w:szCs w:val="20"/>
          <w:lang w:val="en-GB"/>
        </w:rPr>
        <w:t xml:space="preserve"> Global Sustainable Multi-</w:t>
      </w:r>
      <w:r w:rsidRPr="00AB47BD">
        <w:rPr>
          <w:rFonts w:ascii="Arial" w:hAnsi="Arial" w:cs="Arial"/>
          <w:b/>
          <w:bCs/>
          <w:sz w:val="20"/>
          <w:szCs w:val="20"/>
        </w:rPr>
        <w:t>Factor Equity Fund:</w:t>
      </w:r>
      <w:r w:rsidRPr="00AB47BD">
        <w:rPr>
          <w:rFonts w:ascii="Arial" w:hAnsi="Arial" w:cs="Arial"/>
          <w:sz w:val="20"/>
          <w:szCs w:val="20"/>
        </w:rPr>
        <w:t xml:space="preserve"> </w:t>
      </w:r>
      <w:r w:rsidR="00AB47BD" w:rsidRPr="00AB47BD">
        <w:rPr>
          <w:rFonts w:ascii="Arial" w:hAnsi="Arial" w:cs="Arial"/>
          <w:sz w:val="20"/>
          <w:szCs w:val="20"/>
          <w:lang w:val="en-GB"/>
        </w:rPr>
        <w:t xml:space="preserve">Global equity </w:t>
      </w:r>
      <w:r w:rsidR="00AB47BD">
        <w:rPr>
          <w:rFonts w:ascii="Arial" w:hAnsi="Arial" w:cs="Arial"/>
          <w:sz w:val="20"/>
          <w:szCs w:val="20"/>
          <w:lang w:val="en-GB"/>
        </w:rPr>
        <w:t>semi-passive</w:t>
      </w:r>
      <w:r w:rsidR="00AB47BD" w:rsidRPr="00AB47BD">
        <w:rPr>
          <w:rFonts w:ascii="Arial" w:hAnsi="Arial" w:cs="Arial"/>
          <w:sz w:val="20"/>
          <w:szCs w:val="20"/>
          <w:lang w:val="en-GB"/>
        </w:rPr>
        <w:t xml:space="preserve"> fund which includes considerations to</w:t>
      </w:r>
      <w:r w:rsidR="00AB47BD" w:rsidRPr="00AB47BD">
        <w:rPr>
          <w:rFonts w:ascii="Arial" w:hAnsi="Arial" w:cs="Arial"/>
          <w:sz w:val="20"/>
          <w:szCs w:val="20"/>
        </w:rPr>
        <w:t xml:space="preserve"> climate change and sustainable investment factors through allocation weightings and exclusions.</w:t>
      </w:r>
    </w:p>
    <w:p w14:paraId="06CA6561" w14:textId="33297BCA" w:rsidR="00950867" w:rsidRPr="00AB47BD" w:rsidRDefault="00950867" w:rsidP="009833E6">
      <w:pPr>
        <w:pStyle w:val="ListBullet"/>
        <w:numPr>
          <w:ilvl w:val="0"/>
          <w:numId w:val="28"/>
        </w:numPr>
        <w:rPr>
          <w:rFonts w:ascii="Arial" w:hAnsi="Arial" w:cs="Arial"/>
          <w:sz w:val="20"/>
          <w:szCs w:val="20"/>
        </w:rPr>
      </w:pPr>
      <w:r w:rsidRPr="00AB47BD">
        <w:rPr>
          <w:rFonts w:ascii="Arial" w:hAnsi="Arial" w:cs="Arial"/>
          <w:b/>
          <w:bCs/>
          <w:sz w:val="20"/>
          <w:szCs w:val="20"/>
        </w:rPr>
        <w:t>LGIM Heitman Global Prime Property Fund</w:t>
      </w:r>
      <w:r w:rsidRPr="00AB47BD">
        <w:rPr>
          <w:rFonts w:ascii="Arial" w:hAnsi="Arial" w:cs="Arial"/>
          <w:sz w:val="20"/>
          <w:szCs w:val="20"/>
        </w:rPr>
        <w:t>:</w:t>
      </w:r>
      <w:r w:rsidR="00AB47BD">
        <w:rPr>
          <w:rFonts w:ascii="Arial" w:hAnsi="Arial" w:cs="Arial"/>
          <w:sz w:val="20"/>
          <w:szCs w:val="20"/>
        </w:rPr>
        <w:t xml:space="preserve"> Global listed equity fund that focusses on prime property</w:t>
      </w:r>
    </w:p>
    <w:p w14:paraId="313365DF" w14:textId="4D1C921D" w:rsidR="00950867" w:rsidRDefault="00950867" w:rsidP="009833E6">
      <w:pPr>
        <w:pStyle w:val="ListBullet"/>
        <w:numPr>
          <w:ilvl w:val="0"/>
          <w:numId w:val="28"/>
        </w:numPr>
        <w:rPr>
          <w:rFonts w:ascii="Arial" w:hAnsi="Arial" w:cs="Arial"/>
          <w:sz w:val="20"/>
          <w:szCs w:val="20"/>
        </w:rPr>
      </w:pPr>
      <w:r w:rsidRPr="00AB47BD">
        <w:rPr>
          <w:rFonts w:ascii="Arial" w:hAnsi="Arial" w:cs="Arial"/>
          <w:b/>
          <w:bCs/>
          <w:sz w:val="20"/>
          <w:szCs w:val="20"/>
        </w:rPr>
        <w:t>LGIM Infrastructure Equity MFG Fund:</w:t>
      </w:r>
      <w:r w:rsidRPr="00AB47BD">
        <w:rPr>
          <w:rFonts w:ascii="Arial" w:hAnsi="Arial" w:cs="Arial"/>
          <w:sz w:val="20"/>
          <w:szCs w:val="20"/>
        </w:rPr>
        <w:t xml:space="preserve"> </w:t>
      </w:r>
      <w:r w:rsidR="00AB47BD">
        <w:rPr>
          <w:rFonts w:ascii="Arial" w:hAnsi="Arial" w:cs="Arial"/>
          <w:sz w:val="20"/>
          <w:szCs w:val="20"/>
        </w:rPr>
        <w:t>Global listed equity fund that focusses on infrastructure assets</w:t>
      </w:r>
    </w:p>
    <w:p w14:paraId="78FE31D6" w14:textId="4B955597" w:rsidR="003C11F6" w:rsidRPr="003D4632" w:rsidRDefault="003C11F6" w:rsidP="00D87178">
      <w:pPr>
        <w:pStyle w:val="ListBullet"/>
        <w:numPr>
          <w:ilvl w:val="0"/>
          <w:numId w:val="0"/>
        </w:numPr>
        <w:rPr>
          <w:rFonts w:cs="Arial"/>
          <w:szCs w:val="20"/>
        </w:rPr>
      </w:pPr>
    </w:p>
    <w:p w14:paraId="4ACADEA5" w14:textId="330076B4" w:rsidR="003C11F6" w:rsidRDefault="003C11F6" w:rsidP="003C11F6">
      <w:pPr>
        <w:pStyle w:val="ListBullet"/>
        <w:numPr>
          <w:ilvl w:val="0"/>
          <w:numId w:val="0"/>
        </w:numPr>
        <w:rPr>
          <w:rFonts w:ascii="Arial" w:hAnsi="Arial" w:cs="Arial"/>
          <w:sz w:val="20"/>
          <w:szCs w:val="20"/>
        </w:rPr>
      </w:pPr>
      <w:r w:rsidRPr="00614E01">
        <w:rPr>
          <w:rFonts w:ascii="Arial" w:hAnsi="Arial" w:cs="Arial"/>
          <w:sz w:val="20"/>
          <w:szCs w:val="20"/>
          <w:lang w:val="en-GB"/>
        </w:rPr>
        <w:t>As set out in the SIP, the Trustee</w:t>
      </w:r>
      <w:r w:rsidR="00D94B92">
        <w:rPr>
          <w:rFonts w:ascii="Arial" w:hAnsi="Arial" w:cs="Arial"/>
          <w:sz w:val="20"/>
          <w:szCs w:val="20"/>
          <w:lang w:val="en-GB"/>
        </w:rPr>
        <w:t>’</w:t>
      </w:r>
      <w:r w:rsidRPr="00614E01">
        <w:rPr>
          <w:rFonts w:ascii="Arial" w:hAnsi="Arial" w:cs="Arial"/>
          <w:sz w:val="20"/>
          <w:szCs w:val="20"/>
          <w:lang w:val="en-GB"/>
        </w:rPr>
        <w:t xml:space="preserve">s policy is to delegate the exercising of rights (including voting and stewardship) and the </w:t>
      </w:r>
      <w:r w:rsidR="00D94B92">
        <w:rPr>
          <w:rFonts w:ascii="Arial" w:hAnsi="Arial" w:cs="Arial"/>
          <w:sz w:val="20"/>
          <w:szCs w:val="20"/>
          <w:lang w:val="en-GB"/>
        </w:rPr>
        <w:t xml:space="preserve">integration of ESG considerations in </w:t>
      </w:r>
      <w:r w:rsidRPr="00614E01">
        <w:rPr>
          <w:rFonts w:ascii="Arial" w:hAnsi="Arial" w:cs="Arial"/>
          <w:sz w:val="20"/>
          <w:szCs w:val="20"/>
          <w:lang w:val="en-GB"/>
        </w:rPr>
        <w:t>day</w:t>
      </w:r>
      <w:r w:rsidR="00D94B92">
        <w:rPr>
          <w:rFonts w:ascii="Arial" w:hAnsi="Arial" w:cs="Arial"/>
          <w:sz w:val="20"/>
          <w:szCs w:val="20"/>
          <w:lang w:val="en-GB"/>
        </w:rPr>
        <w:t>-</w:t>
      </w:r>
      <w:r w:rsidRPr="00614E01">
        <w:rPr>
          <w:rFonts w:ascii="Arial" w:hAnsi="Arial" w:cs="Arial"/>
          <w:sz w:val="20"/>
          <w:szCs w:val="20"/>
          <w:lang w:val="en-GB"/>
        </w:rPr>
        <w:t>to</w:t>
      </w:r>
      <w:r w:rsidR="00D94B92">
        <w:rPr>
          <w:rFonts w:ascii="Arial" w:hAnsi="Arial" w:cs="Arial"/>
          <w:sz w:val="20"/>
          <w:szCs w:val="20"/>
          <w:lang w:val="en-GB"/>
        </w:rPr>
        <w:t>-</w:t>
      </w:r>
      <w:r w:rsidRPr="00614E01">
        <w:rPr>
          <w:rFonts w:ascii="Arial" w:hAnsi="Arial" w:cs="Arial"/>
          <w:sz w:val="20"/>
          <w:szCs w:val="20"/>
          <w:lang w:val="en-GB"/>
        </w:rPr>
        <w:t xml:space="preserve">day </w:t>
      </w:r>
      <w:r w:rsidR="00D94B92">
        <w:rPr>
          <w:rFonts w:ascii="Arial" w:hAnsi="Arial" w:cs="Arial"/>
          <w:sz w:val="20"/>
          <w:szCs w:val="20"/>
          <w:lang w:val="en-GB"/>
        </w:rPr>
        <w:t>decisions</w:t>
      </w:r>
      <w:r w:rsidRPr="00614E01">
        <w:rPr>
          <w:rFonts w:ascii="Arial" w:hAnsi="Arial" w:cs="Arial"/>
          <w:sz w:val="20"/>
          <w:szCs w:val="20"/>
          <w:lang w:val="en-GB"/>
        </w:rPr>
        <w:t xml:space="preserve"> to the </w:t>
      </w:r>
      <w:r w:rsidR="00742131">
        <w:rPr>
          <w:rFonts w:ascii="Arial" w:hAnsi="Arial" w:cs="Arial"/>
          <w:sz w:val="20"/>
          <w:szCs w:val="20"/>
          <w:lang w:val="en-GB"/>
        </w:rPr>
        <w:t>Scheme’s</w:t>
      </w:r>
      <w:r w:rsidRPr="00614E01">
        <w:rPr>
          <w:rFonts w:ascii="Arial" w:hAnsi="Arial" w:cs="Arial"/>
          <w:sz w:val="20"/>
          <w:szCs w:val="20"/>
          <w:lang w:val="en-GB"/>
        </w:rPr>
        <w:t xml:space="preserve"> investment managers. </w:t>
      </w:r>
      <w:r>
        <w:rPr>
          <w:rFonts w:ascii="Arial" w:hAnsi="Arial" w:cs="Arial"/>
          <w:sz w:val="20"/>
          <w:szCs w:val="20"/>
        </w:rPr>
        <w:t xml:space="preserve">This section </w:t>
      </w:r>
      <w:r w:rsidRPr="00604948">
        <w:rPr>
          <w:rFonts w:ascii="Arial" w:hAnsi="Arial" w:cs="Arial"/>
          <w:sz w:val="20"/>
          <w:szCs w:val="20"/>
        </w:rPr>
        <w:t xml:space="preserve">sets out the voting activities of the </w:t>
      </w:r>
      <w:r w:rsidR="00742131">
        <w:rPr>
          <w:rFonts w:ascii="Arial" w:hAnsi="Arial" w:cs="Arial"/>
          <w:sz w:val="20"/>
          <w:szCs w:val="20"/>
        </w:rPr>
        <w:t>Scheme’s</w:t>
      </w:r>
      <w:r w:rsidRPr="00604948">
        <w:rPr>
          <w:rFonts w:ascii="Arial" w:hAnsi="Arial" w:cs="Arial"/>
          <w:sz w:val="20"/>
          <w:szCs w:val="20"/>
        </w:rPr>
        <w:t xml:space="preserve"> equity investment managers over the year, including details of the investment managers’ use of proxy voting. </w:t>
      </w:r>
    </w:p>
    <w:p w14:paraId="05250A06" w14:textId="77777777" w:rsidR="003C11F6" w:rsidRDefault="003C11F6" w:rsidP="003C11F6">
      <w:pPr>
        <w:pStyle w:val="ListBullet"/>
        <w:numPr>
          <w:ilvl w:val="0"/>
          <w:numId w:val="0"/>
        </w:numPr>
        <w:ind w:left="360" w:hanging="360"/>
        <w:rPr>
          <w:rFonts w:ascii="Arial" w:hAnsi="Arial" w:cs="Arial"/>
          <w:sz w:val="20"/>
          <w:szCs w:val="20"/>
          <w:lang w:val="en-GB"/>
        </w:rPr>
      </w:pPr>
    </w:p>
    <w:p w14:paraId="5FDC5765" w14:textId="714FC6FE" w:rsidR="007C4314" w:rsidRDefault="00852F7D" w:rsidP="0083040E">
      <w:pPr>
        <w:pStyle w:val="ListBullet"/>
        <w:numPr>
          <w:ilvl w:val="0"/>
          <w:numId w:val="0"/>
        </w:numPr>
        <w:rPr>
          <w:rFonts w:ascii="Arial" w:hAnsi="Arial" w:cs="Arial"/>
          <w:sz w:val="20"/>
          <w:szCs w:val="20"/>
        </w:rPr>
      </w:pPr>
      <w:r>
        <w:rPr>
          <w:rFonts w:ascii="Arial" w:hAnsi="Arial" w:cs="Arial"/>
          <w:sz w:val="20"/>
          <w:szCs w:val="20"/>
        </w:rPr>
        <w:t xml:space="preserve">The </w:t>
      </w:r>
      <w:r w:rsidR="00742131">
        <w:rPr>
          <w:rFonts w:ascii="Arial" w:hAnsi="Arial" w:cs="Arial"/>
          <w:sz w:val="20"/>
          <w:szCs w:val="20"/>
        </w:rPr>
        <w:t>Scheme’s</w:t>
      </w:r>
      <w:r>
        <w:rPr>
          <w:rFonts w:ascii="Arial" w:hAnsi="Arial" w:cs="Arial"/>
          <w:sz w:val="20"/>
          <w:szCs w:val="20"/>
        </w:rPr>
        <w:t xml:space="preserve"> investment managers</w:t>
      </w:r>
      <w:r w:rsidR="007C4314">
        <w:rPr>
          <w:rFonts w:ascii="Arial" w:hAnsi="Arial" w:cs="Arial"/>
          <w:sz w:val="20"/>
          <w:szCs w:val="20"/>
        </w:rPr>
        <w:t xml:space="preserve"> have their own voting </w:t>
      </w:r>
      <w:r w:rsidR="00F63A27">
        <w:rPr>
          <w:rFonts w:ascii="Arial" w:hAnsi="Arial" w:cs="Arial"/>
          <w:sz w:val="20"/>
          <w:szCs w:val="20"/>
        </w:rPr>
        <w:t>policies</w:t>
      </w:r>
      <w:r w:rsidR="007C4314">
        <w:rPr>
          <w:rFonts w:ascii="Arial" w:hAnsi="Arial" w:cs="Arial"/>
          <w:sz w:val="20"/>
          <w:szCs w:val="20"/>
        </w:rPr>
        <w:t xml:space="preserve"> which </w:t>
      </w:r>
      <w:r w:rsidR="00F63A27">
        <w:rPr>
          <w:rFonts w:ascii="Arial" w:hAnsi="Arial" w:cs="Arial"/>
          <w:sz w:val="20"/>
          <w:szCs w:val="20"/>
        </w:rPr>
        <w:t>determine</w:t>
      </w:r>
      <w:r w:rsidR="00D94B92">
        <w:rPr>
          <w:rFonts w:ascii="Arial" w:hAnsi="Arial" w:cs="Arial"/>
          <w:sz w:val="20"/>
          <w:szCs w:val="20"/>
        </w:rPr>
        <w:t xml:space="preserve"> </w:t>
      </w:r>
      <w:r w:rsidR="007C4314">
        <w:rPr>
          <w:rFonts w:ascii="Arial" w:hAnsi="Arial" w:cs="Arial"/>
          <w:sz w:val="20"/>
          <w:szCs w:val="20"/>
        </w:rPr>
        <w:t>their approach to voting</w:t>
      </w:r>
      <w:r w:rsidR="00D24F7B">
        <w:rPr>
          <w:rFonts w:ascii="Arial" w:hAnsi="Arial" w:cs="Arial"/>
          <w:sz w:val="20"/>
          <w:szCs w:val="20"/>
        </w:rPr>
        <w:t>,</w:t>
      </w:r>
      <w:r w:rsidR="007C4314">
        <w:rPr>
          <w:rFonts w:ascii="Arial" w:hAnsi="Arial" w:cs="Arial"/>
          <w:sz w:val="20"/>
          <w:szCs w:val="20"/>
        </w:rPr>
        <w:t xml:space="preserve"> and the principles they follow when voting on investors’ behalf. </w:t>
      </w:r>
      <w:r>
        <w:rPr>
          <w:rFonts w:ascii="Arial" w:hAnsi="Arial" w:cs="Arial"/>
          <w:sz w:val="20"/>
          <w:szCs w:val="20"/>
        </w:rPr>
        <w:t xml:space="preserve">All </w:t>
      </w:r>
      <w:r w:rsidR="007C4314">
        <w:rPr>
          <w:rFonts w:ascii="Arial" w:hAnsi="Arial" w:cs="Arial"/>
          <w:sz w:val="20"/>
          <w:szCs w:val="20"/>
        </w:rPr>
        <w:t>investment managers also use voting proxy advisors which aid in their decision</w:t>
      </w:r>
      <w:r w:rsidR="00D94B92">
        <w:rPr>
          <w:rFonts w:ascii="Arial" w:hAnsi="Arial" w:cs="Arial"/>
          <w:sz w:val="20"/>
          <w:szCs w:val="20"/>
        </w:rPr>
        <w:t>-</w:t>
      </w:r>
      <w:r w:rsidR="007C4314">
        <w:rPr>
          <w:rFonts w:ascii="Arial" w:hAnsi="Arial" w:cs="Arial"/>
          <w:sz w:val="20"/>
          <w:szCs w:val="20"/>
        </w:rPr>
        <w:t>making when voting</w:t>
      </w:r>
      <w:r w:rsidR="0093416F">
        <w:rPr>
          <w:rFonts w:ascii="Arial" w:hAnsi="Arial" w:cs="Arial"/>
          <w:sz w:val="20"/>
          <w:szCs w:val="20"/>
        </w:rPr>
        <w:t xml:space="preserve">. Details are </w:t>
      </w:r>
      <w:proofErr w:type="spellStart"/>
      <w:r w:rsidR="0093416F">
        <w:rPr>
          <w:rFonts w:ascii="Arial" w:hAnsi="Arial" w:cs="Arial"/>
          <w:sz w:val="20"/>
          <w:szCs w:val="20"/>
        </w:rPr>
        <w:t>summarised</w:t>
      </w:r>
      <w:proofErr w:type="spellEnd"/>
      <w:r w:rsidR="0093416F">
        <w:rPr>
          <w:rFonts w:ascii="Arial" w:hAnsi="Arial" w:cs="Arial"/>
          <w:sz w:val="20"/>
          <w:szCs w:val="20"/>
        </w:rPr>
        <w:t xml:space="preserve"> in the table below:</w:t>
      </w:r>
    </w:p>
    <w:p w14:paraId="73C240E4" w14:textId="7E4051B4" w:rsidR="006B2B0B" w:rsidRDefault="006B2B0B" w:rsidP="0083040E">
      <w:pPr>
        <w:pStyle w:val="ListBullet"/>
        <w:numPr>
          <w:ilvl w:val="0"/>
          <w:numId w:val="0"/>
        </w:numPr>
        <w:rPr>
          <w:rFonts w:ascii="Arial" w:hAnsi="Arial" w:cs="Arial"/>
          <w:sz w:val="20"/>
          <w:szCs w:val="20"/>
        </w:rPr>
      </w:pPr>
    </w:p>
    <w:p w14:paraId="048B4F5E" w14:textId="6F708F0E" w:rsidR="006B2B0B" w:rsidRDefault="006B2B0B" w:rsidP="0083040E">
      <w:pPr>
        <w:pStyle w:val="ListBullet"/>
        <w:numPr>
          <w:ilvl w:val="0"/>
          <w:numId w:val="0"/>
        </w:numPr>
        <w:rPr>
          <w:rFonts w:ascii="Arial" w:hAnsi="Arial" w:cs="Arial"/>
          <w:sz w:val="20"/>
          <w:szCs w:val="20"/>
        </w:rPr>
      </w:pPr>
    </w:p>
    <w:tbl>
      <w:tblPr>
        <w:tblStyle w:val="TableGrid"/>
        <w:tblW w:w="0" w:type="auto"/>
        <w:tblLook w:val="04A0" w:firstRow="1" w:lastRow="0" w:firstColumn="1" w:lastColumn="0" w:noHBand="0" w:noVBand="1"/>
      </w:tblPr>
      <w:tblGrid>
        <w:gridCol w:w="1696"/>
        <w:gridCol w:w="7320"/>
      </w:tblGrid>
      <w:tr w:rsidR="006B2B0B" w14:paraId="13C3424F" w14:textId="77777777" w:rsidTr="006B2B0B">
        <w:tc>
          <w:tcPr>
            <w:tcW w:w="1696" w:type="dxa"/>
          </w:tcPr>
          <w:p w14:paraId="00FA229A" w14:textId="6D17D423" w:rsidR="006B2B0B" w:rsidRPr="006B2B0B" w:rsidRDefault="006B2B0B" w:rsidP="0083040E">
            <w:pPr>
              <w:pStyle w:val="ListBullet"/>
              <w:numPr>
                <w:ilvl w:val="0"/>
                <w:numId w:val="0"/>
              </w:numPr>
              <w:rPr>
                <w:rFonts w:ascii="Arial" w:hAnsi="Arial" w:cs="Arial"/>
                <w:b/>
                <w:bCs/>
                <w:sz w:val="20"/>
                <w:szCs w:val="20"/>
              </w:rPr>
            </w:pPr>
            <w:r w:rsidRPr="006B2B0B">
              <w:rPr>
                <w:rFonts w:ascii="Arial" w:hAnsi="Arial" w:cs="Arial"/>
                <w:b/>
                <w:bCs/>
                <w:sz w:val="20"/>
                <w:szCs w:val="20"/>
              </w:rPr>
              <w:t>Manager</w:t>
            </w:r>
          </w:p>
        </w:tc>
        <w:tc>
          <w:tcPr>
            <w:tcW w:w="7320" w:type="dxa"/>
          </w:tcPr>
          <w:p w14:paraId="170E1EE0" w14:textId="19B4A945" w:rsidR="006B2B0B" w:rsidRPr="006B2B0B" w:rsidRDefault="006B2B0B" w:rsidP="0083040E">
            <w:pPr>
              <w:pStyle w:val="ListBullet"/>
              <w:numPr>
                <w:ilvl w:val="0"/>
                <w:numId w:val="0"/>
              </w:numPr>
              <w:rPr>
                <w:rFonts w:ascii="Arial" w:hAnsi="Arial" w:cs="Arial"/>
                <w:b/>
                <w:bCs/>
                <w:sz w:val="20"/>
                <w:szCs w:val="20"/>
              </w:rPr>
            </w:pPr>
            <w:r w:rsidRPr="006B2B0B">
              <w:rPr>
                <w:rFonts w:ascii="Arial" w:hAnsi="Arial" w:cs="Arial"/>
                <w:b/>
                <w:bCs/>
                <w:sz w:val="20"/>
                <w:szCs w:val="20"/>
              </w:rPr>
              <w:t>Use or proxy advisor services:</w:t>
            </w:r>
          </w:p>
        </w:tc>
      </w:tr>
      <w:tr w:rsidR="00852F7D" w14:paraId="23ED444A" w14:textId="77777777" w:rsidTr="006B2B0B">
        <w:tc>
          <w:tcPr>
            <w:tcW w:w="1696" w:type="dxa"/>
          </w:tcPr>
          <w:p w14:paraId="68FAAE6E" w14:textId="68F75BA8" w:rsidR="00852F7D" w:rsidRPr="006B2B0B" w:rsidRDefault="00852F7D" w:rsidP="00852F7D">
            <w:pPr>
              <w:pStyle w:val="ListBullet"/>
              <w:numPr>
                <w:ilvl w:val="0"/>
                <w:numId w:val="0"/>
              </w:numPr>
              <w:rPr>
                <w:rFonts w:ascii="Arial" w:hAnsi="Arial" w:cs="Arial"/>
                <w:b/>
                <w:bCs/>
                <w:sz w:val="20"/>
                <w:szCs w:val="20"/>
              </w:rPr>
            </w:pPr>
            <w:r w:rsidRPr="006B2B0B">
              <w:rPr>
                <w:rFonts w:ascii="Arial" w:hAnsi="Arial" w:cs="Arial"/>
                <w:b/>
                <w:bCs/>
                <w:sz w:val="20"/>
                <w:szCs w:val="20"/>
              </w:rPr>
              <w:t>LGIM</w:t>
            </w:r>
          </w:p>
        </w:tc>
        <w:tc>
          <w:tcPr>
            <w:tcW w:w="7320" w:type="dxa"/>
          </w:tcPr>
          <w:p w14:paraId="74842275" w14:textId="77777777" w:rsidR="00852F7D" w:rsidRPr="006B2B0B" w:rsidRDefault="00852F7D" w:rsidP="00852F7D">
            <w:pPr>
              <w:pStyle w:val="ListBullet"/>
              <w:numPr>
                <w:ilvl w:val="0"/>
                <w:numId w:val="0"/>
              </w:numPr>
              <w:rPr>
                <w:rFonts w:ascii="Arial" w:hAnsi="Arial" w:cs="Arial"/>
                <w:b/>
                <w:bCs/>
                <w:sz w:val="20"/>
                <w:szCs w:val="20"/>
                <w:lang w:val="en-GB"/>
              </w:rPr>
            </w:pPr>
            <w:r w:rsidRPr="004B30B1">
              <w:rPr>
                <w:rFonts w:ascii="Arial" w:hAnsi="Arial" w:cs="Arial"/>
                <w:color w:val="000000"/>
                <w:sz w:val="20"/>
                <w:szCs w:val="20"/>
                <w:lang w:eastAsia="en-GB"/>
              </w:rPr>
              <w:t xml:space="preserve">LGIM’s Investment Stewardship team uses </w:t>
            </w:r>
            <w:r w:rsidRPr="006B2B0B">
              <w:rPr>
                <w:rFonts w:ascii="Arial" w:hAnsi="Arial" w:cs="Arial"/>
                <w:color w:val="000000"/>
                <w:sz w:val="20"/>
                <w:szCs w:val="20"/>
                <w:lang w:eastAsia="en-GB"/>
              </w:rPr>
              <w:t>Institutional Shareholder Services’ (</w:t>
            </w:r>
            <w:r w:rsidRPr="004B30B1">
              <w:rPr>
                <w:rFonts w:ascii="Arial" w:hAnsi="Arial" w:cs="Arial"/>
                <w:color w:val="000000"/>
                <w:sz w:val="20"/>
                <w:szCs w:val="20"/>
                <w:lang w:eastAsia="en-GB"/>
              </w:rPr>
              <w:t>ISS</w:t>
            </w:r>
            <w:r w:rsidRPr="006B2B0B">
              <w:rPr>
                <w:rFonts w:ascii="Arial" w:hAnsi="Arial" w:cs="Arial"/>
                <w:color w:val="000000"/>
                <w:sz w:val="20"/>
                <w:szCs w:val="20"/>
                <w:lang w:eastAsia="en-GB"/>
              </w:rPr>
              <w:t>)</w:t>
            </w:r>
            <w:r w:rsidRPr="004B30B1">
              <w:rPr>
                <w:rFonts w:ascii="Arial" w:hAnsi="Arial" w:cs="Arial"/>
                <w:color w:val="000000"/>
                <w:sz w:val="20"/>
                <w:szCs w:val="20"/>
                <w:lang w:eastAsia="en-GB"/>
              </w:rPr>
              <w:t xml:space="preserve"> electronic voting platform to electronically vote clients’ shares. All voting decisions are made by LGIM and</w:t>
            </w:r>
            <w:r w:rsidRPr="006B2B0B">
              <w:rPr>
                <w:rFonts w:ascii="Arial" w:hAnsi="Arial" w:cs="Arial"/>
                <w:color w:val="000000"/>
                <w:sz w:val="20"/>
                <w:szCs w:val="20"/>
                <w:lang w:eastAsia="en-GB"/>
              </w:rPr>
              <w:t xml:space="preserve"> they</w:t>
            </w:r>
            <w:r w:rsidRPr="004B30B1">
              <w:rPr>
                <w:rFonts w:ascii="Arial" w:hAnsi="Arial" w:cs="Arial"/>
                <w:color w:val="000000"/>
                <w:sz w:val="20"/>
                <w:szCs w:val="20"/>
                <w:lang w:eastAsia="en-GB"/>
              </w:rPr>
              <w:t xml:space="preserve"> do not outsource any part of the strategic decision. </w:t>
            </w:r>
          </w:p>
          <w:p w14:paraId="0C2AC7F6" w14:textId="77777777" w:rsidR="00852F7D" w:rsidRPr="006B2B0B" w:rsidRDefault="00852F7D" w:rsidP="00852F7D">
            <w:pPr>
              <w:rPr>
                <w:rFonts w:cs="Arial"/>
                <w:color w:val="000000"/>
                <w:szCs w:val="20"/>
                <w:lang w:eastAsia="en-GB"/>
              </w:rPr>
            </w:pPr>
            <w:r w:rsidRPr="006B2B0B">
              <w:rPr>
                <w:rFonts w:cs="Arial"/>
                <w:color w:val="000000"/>
                <w:szCs w:val="20"/>
                <w:lang w:eastAsia="en-GB"/>
              </w:rPr>
              <w:t xml:space="preserve">LGIM use ISS recommendations to augment their own research. LGIM’s internal investment stewardship team </w:t>
            </w:r>
            <w:r w:rsidRPr="004B30B1">
              <w:rPr>
                <w:rFonts w:cs="Arial"/>
                <w:color w:val="000000"/>
                <w:szCs w:val="20"/>
                <w:lang w:eastAsia="en-GB"/>
              </w:rPr>
              <w:t xml:space="preserve">also use research reports of Institutional Voting Information Services (IVIS) to supplement the research reports that </w:t>
            </w:r>
            <w:r w:rsidRPr="006B2B0B">
              <w:rPr>
                <w:rFonts w:cs="Arial"/>
                <w:color w:val="000000"/>
                <w:szCs w:val="20"/>
                <w:lang w:eastAsia="en-GB"/>
              </w:rPr>
              <w:t>they</w:t>
            </w:r>
            <w:r w:rsidRPr="004B30B1">
              <w:rPr>
                <w:rFonts w:cs="Arial"/>
                <w:color w:val="000000"/>
                <w:szCs w:val="20"/>
                <w:lang w:eastAsia="en-GB"/>
              </w:rPr>
              <w:t xml:space="preserve"> receive from ISS for UK companies when making specific voting decisions</w:t>
            </w:r>
            <w:r w:rsidRPr="006B2B0B">
              <w:rPr>
                <w:rFonts w:cs="Arial"/>
                <w:color w:val="000000"/>
                <w:szCs w:val="20"/>
                <w:lang w:eastAsia="en-GB"/>
              </w:rPr>
              <w:t>.</w:t>
            </w:r>
          </w:p>
          <w:p w14:paraId="6045D9BE" w14:textId="77777777" w:rsidR="00852F7D" w:rsidRPr="006B2B0B" w:rsidRDefault="00852F7D" w:rsidP="00852F7D">
            <w:pPr>
              <w:rPr>
                <w:rFonts w:cs="Arial"/>
                <w:color w:val="000000"/>
                <w:szCs w:val="20"/>
                <w:lang w:eastAsia="en-GB"/>
              </w:rPr>
            </w:pPr>
          </w:p>
          <w:p w14:paraId="72BF42C2" w14:textId="77777777" w:rsidR="00852F7D" w:rsidRPr="006B2B0B" w:rsidRDefault="00852F7D" w:rsidP="00852F7D">
            <w:pPr>
              <w:pStyle w:val="ListBullet"/>
              <w:numPr>
                <w:ilvl w:val="0"/>
                <w:numId w:val="0"/>
              </w:numPr>
              <w:rPr>
                <w:rFonts w:ascii="Arial" w:hAnsi="Arial" w:cs="Arial"/>
                <w:b/>
                <w:bCs/>
                <w:sz w:val="20"/>
                <w:szCs w:val="20"/>
                <w:lang w:val="en-GB"/>
              </w:rPr>
            </w:pPr>
            <w:r w:rsidRPr="006B2B0B">
              <w:rPr>
                <w:rFonts w:ascii="Arial" w:hAnsi="Arial" w:cs="Arial"/>
                <w:color w:val="000000"/>
                <w:sz w:val="20"/>
                <w:szCs w:val="20"/>
                <w:lang w:eastAsia="en-GB"/>
              </w:rPr>
              <w:t xml:space="preserve">LGIM have a custom voting policy in place which includes specific voting instructions which apply to all markets globally. LGIM </w:t>
            </w:r>
            <w:proofErr w:type="gramStart"/>
            <w:r w:rsidRPr="006B2B0B">
              <w:rPr>
                <w:rFonts w:ascii="Arial" w:hAnsi="Arial" w:cs="Arial"/>
                <w:color w:val="000000"/>
                <w:sz w:val="20"/>
                <w:szCs w:val="20"/>
                <w:lang w:eastAsia="en-GB"/>
              </w:rPr>
              <w:t>have the ability to</w:t>
            </w:r>
            <w:proofErr w:type="gramEnd"/>
            <w:r w:rsidRPr="006B2B0B">
              <w:rPr>
                <w:rFonts w:ascii="Arial" w:hAnsi="Arial" w:cs="Arial"/>
                <w:color w:val="000000"/>
                <w:sz w:val="20"/>
                <w:szCs w:val="20"/>
                <w:lang w:eastAsia="en-GB"/>
              </w:rPr>
              <w:t xml:space="preserve"> override any vote decisions which are based on this custom voting policy if they see fit.</w:t>
            </w:r>
          </w:p>
          <w:p w14:paraId="7402A127" w14:textId="77777777" w:rsidR="00852F7D" w:rsidRPr="006B2B0B" w:rsidRDefault="00852F7D" w:rsidP="00852F7D">
            <w:pPr>
              <w:spacing w:line="276" w:lineRule="auto"/>
              <w:rPr>
                <w:rFonts w:cs="Arial"/>
                <w:szCs w:val="20"/>
              </w:rPr>
            </w:pPr>
          </w:p>
        </w:tc>
      </w:tr>
    </w:tbl>
    <w:p w14:paraId="4C2CF7FB" w14:textId="0816AD74" w:rsidR="006B2B0B" w:rsidRDefault="006B2B0B" w:rsidP="0083040E">
      <w:pPr>
        <w:pStyle w:val="ListBullet"/>
        <w:numPr>
          <w:ilvl w:val="0"/>
          <w:numId w:val="0"/>
        </w:numPr>
        <w:rPr>
          <w:rFonts w:ascii="Arial" w:hAnsi="Arial" w:cs="Arial"/>
          <w:sz w:val="20"/>
          <w:szCs w:val="20"/>
        </w:rPr>
      </w:pPr>
    </w:p>
    <w:p w14:paraId="6908DDFB" w14:textId="1438D1C9" w:rsidR="00CE1FA5" w:rsidRDefault="00CE1FA5" w:rsidP="0083040E">
      <w:pPr>
        <w:pStyle w:val="ListBullet"/>
        <w:numPr>
          <w:ilvl w:val="0"/>
          <w:numId w:val="0"/>
        </w:numPr>
        <w:rPr>
          <w:rFonts w:ascii="Arial" w:hAnsi="Arial" w:cs="Arial"/>
          <w:sz w:val="20"/>
          <w:szCs w:val="20"/>
        </w:rPr>
      </w:pPr>
    </w:p>
    <w:p w14:paraId="5156295C" w14:textId="526227A7" w:rsidR="0069354A" w:rsidRDefault="00AE1220" w:rsidP="00D30A6F">
      <w:pPr>
        <w:pStyle w:val="ListBullet"/>
        <w:numPr>
          <w:ilvl w:val="0"/>
          <w:numId w:val="0"/>
        </w:numPr>
        <w:rPr>
          <w:rFonts w:ascii="Arial" w:hAnsi="Arial" w:cs="Arial"/>
          <w:szCs w:val="20"/>
        </w:rPr>
      </w:pPr>
      <w:r w:rsidRPr="00AE1220">
        <w:rPr>
          <w:rFonts w:ascii="Arial" w:hAnsi="Arial" w:cs="Arial"/>
          <w:sz w:val="20"/>
          <w:szCs w:val="20"/>
        </w:rPr>
        <w:t>Further information on the voting and engagement activities of the managers is provided in the table below.</w:t>
      </w:r>
      <w:r w:rsidR="00851606" w:rsidRPr="00851606">
        <w:t xml:space="preserve"> </w:t>
      </w:r>
      <w:r w:rsidR="00851606" w:rsidRPr="00851606">
        <w:rPr>
          <w:rFonts w:ascii="Arial" w:hAnsi="Arial" w:cs="Arial"/>
          <w:sz w:val="20"/>
          <w:szCs w:val="20"/>
        </w:rPr>
        <w:t>Where managers provided multiple examples of “significant votes” we show three demonstrative examples.</w:t>
      </w:r>
    </w:p>
    <w:p w14:paraId="28845BFA" w14:textId="4E90D488" w:rsidR="00851606" w:rsidRDefault="00851606">
      <w:pPr>
        <w:spacing w:after="160" w:line="259" w:lineRule="auto"/>
        <w:rPr>
          <w:rFonts w:eastAsiaTheme="minorHAnsi" w:cs="Arial"/>
          <w:szCs w:val="20"/>
        </w:rPr>
      </w:pPr>
      <w:r>
        <w:rPr>
          <w:rFonts w:cs="Arial"/>
          <w:szCs w:val="20"/>
        </w:rPr>
        <w:br w:type="page"/>
      </w:r>
    </w:p>
    <w:p w14:paraId="381C5406" w14:textId="54BA8193" w:rsidR="00EC1AC0" w:rsidRDefault="00851606" w:rsidP="00EC1AC0">
      <w:pPr>
        <w:pStyle w:val="ListBullet"/>
        <w:numPr>
          <w:ilvl w:val="0"/>
          <w:numId w:val="0"/>
        </w:numPr>
        <w:tabs>
          <w:tab w:val="left" w:pos="720"/>
        </w:tabs>
        <w:rPr>
          <w:rFonts w:ascii="Arial" w:hAnsi="Arial" w:cs="Arial"/>
          <w:b/>
          <w:bCs/>
          <w:color w:val="000000"/>
          <w:sz w:val="16"/>
          <w:szCs w:val="16"/>
        </w:rPr>
      </w:pPr>
      <w:r w:rsidRPr="00851606">
        <w:rPr>
          <w:rFonts w:ascii="Arial" w:hAnsi="Arial" w:cs="Arial"/>
          <w:b/>
          <w:bCs/>
          <w:color w:val="000000"/>
          <w:sz w:val="16"/>
          <w:szCs w:val="16"/>
        </w:rPr>
        <w:lastRenderedPageBreak/>
        <w:t>LGIM Adaptive Cap ESG Equity Fund</w:t>
      </w:r>
    </w:p>
    <w:tbl>
      <w:tblPr>
        <w:tblW w:w="9190" w:type="dxa"/>
        <w:tblInd w:w="-5" w:type="dxa"/>
        <w:tblCellMar>
          <w:left w:w="0" w:type="dxa"/>
          <w:right w:w="0" w:type="dxa"/>
        </w:tblCellMar>
        <w:tblLook w:val="04A0" w:firstRow="1" w:lastRow="0" w:firstColumn="1" w:lastColumn="0" w:noHBand="0" w:noVBand="1"/>
      </w:tblPr>
      <w:tblGrid>
        <w:gridCol w:w="1228"/>
        <w:gridCol w:w="1249"/>
        <w:gridCol w:w="2064"/>
        <w:gridCol w:w="2340"/>
        <w:gridCol w:w="2309"/>
      </w:tblGrid>
      <w:tr w:rsidR="00EC1AC0" w14:paraId="269B17F9" w14:textId="77777777" w:rsidTr="00EC1AC0">
        <w:trPr>
          <w:trHeight w:val="164"/>
        </w:trPr>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D041C6" w14:textId="77777777" w:rsidR="00EC1AC0" w:rsidRDefault="00EC1AC0">
            <w:pPr>
              <w:pStyle w:val="Heading4"/>
              <w:numPr>
                <w:ilvl w:val="0"/>
                <w:numId w:val="0"/>
              </w:numPr>
              <w:tabs>
                <w:tab w:val="left" w:pos="720"/>
              </w:tabs>
              <w:spacing w:before="120" w:after="120"/>
              <w:jc w:val="center"/>
              <w:rPr>
                <w:rFonts w:cs="Arial"/>
                <w:b/>
                <w:bCs w:val="0"/>
                <w:color w:val="7030A0"/>
                <w:sz w:val="16"/>
                <w:szCs w:val="16"/>
              </w:rPr>
            </w:pPr>
            <w:r>
              <w:rPr>
                <w:b/>
                <w:bCs w:val="0"/>
                <w:color w:val="7030A0"/>
                <w:sz w:val="16"/>
                <w:szCs w:val="16"/>
              </w:rPr>
              <w:t>Voting activity</w:t>
            </w:r>
          </w:p>
        </w:tc>
        <w:tc>
          <w:tcPr>
            <w:tcW w:w="796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8095F" w14:textId="7A3AD0DA" w:rsidR="00EC1AC0" w:rsidRDefault="00EC1AC0">
            <w:pPr>
              <w:pStyle w:val="Heading4"/>
              <w:numPr>
                <w:ilvl w:val="0"/>
                <w:numId w:val="0"/>
              </w:numPr>
              <w:tabs>
                <w:tab w:val="left" w:pos="720"/>
              </w:tabs>
              <w:spacing w:before="120" w:after="120"/>
              <w:ind w:left="680" w:hanging="680"/>
              <w:rPr>
                <w:bCs w:val="0"/>
                <w:sz w:val="16"/>
                <w:szCs w:val="16"/>
              </w:rPr>
            </w:pPr>
            <w:r>
              <w:rPr>
                <w:sz w:val="16"/>
                <w:szCs w:val="16"/>
              </w:rPr>
              <w:t xml:space="preserve">Number of votes eligible to cast: </w:t>
            </w:r>
            <w:r w:rsidR="00C6644C">
              <w:rPr>
                <w:sz w:val="16"/>
                <w:szCs w:val="16"/>
              </w:rPr>
              <w:t>3,8</w:t>
            </w:r>
            <w:r w:rsidR="00896904">
              <w:rPr>
                <w:sz w:val="16"/>
                <w:szCs w:val="16"/>
              </w:rPr>
              <w:t>20</w:t>
            </w:r>
          </w:p>
          <w:p w14:paraId="210C3D15" w14:textId="207D9932" w:rsidR="00EC1AC0" w:rsidRDefault="00EC1AC0">
            <w:pPr>
              <w:pStyle w:val="Heading4"/>
              <w:numPr>
                <w:ilvl w:val="0"/>
                <w:numId w:val="0"/>
              </w:numPr>
              <w:tabs>
                <w:tab w:val="left" w:pos="720"/>
              </w:tabs>
              <w:spacing w:before="120" w:after="120"/>
              <w:ind w:left="680" w:hanging="680"/>
              <w:rPr>
                <w:sz w:val="16"/>
                <w:szCs w:val="16"/>
              </w:rPr>
            </w:pPr>
            <w:r>
              <w:rPr>
                <w:sz w:val="16"/>
                <w:szCs w:val="16"/>
              </w:rPr>
              <w:t>Percentage of eligible votes cast: 99.</w:t>
            </w:r>
            <w:r w:rsidR="000F3B0D">
              <w:rPr>
                <w:sz w:val="16"/>
                <w:szCs w:val="16"/>
              </w:rPr>
              <w:t>8</w:t>
            </w:r>
            <w:r>
              <w:rPr>
                <w:sz w:val="16"/>
                <w:szCs w:val="16"/>
              </w:rPr>
              <w:t>%</w:t>
            </w:r>
          </w:p>
          <w:p w14:paraId="6D90119D" w14:textId="4A7DA7AE" w:rsidR="00EC1AC0" w:rsidRDefault="00EC1AC0">
            <w:pPr>
              <w:pStyle w:val="Heading4"/>
              <w:numPr>
                <w:ilvl w:val="0"/>
                <w:numId w:val="0"/>
              </w:numPr>
              <w:tabs>
                <w:tab w:val="left" w:pos="720"/>
              </w:tabs>
              <w:spacing w:before="120" w:after="120"/>
              <w:ind w:left="680" w:hanging="680"/>
              <w:rPr>
                <w:sz w:val="16"/>
                <w:szCs w:val="16"/>
              </w:rPr>
            </w:pPr>
            <w:r>
              <w:rPr>
                <w:sz w:val="16"/>
                <w:szCs w:val="16"/>
              </w:rPr>
              <w:t>Percentage of votes with management: 8</w:t>
            </w:r>
            <w:r w:rsidR="000F3B0D">
              <w:rPr>
                <w:sz w:val="16"/>
                <w:szCs w:val="16"/>
              </w:rPr>
              <w:t>1.8</w:t>
            </w:r>
            <w:r>
              <w:rPr>
                <w:sz w:val="16"/>
                <w:szCs w:val="16"/>
              </w:rPr>
              <w:t>%</w:t>
            </w:r>
          </w:p>
          <w:p w14:paraId="4B009CB6" w14:textId="2936536F" w:rsidR="00EC1AC0" w:rsidRDefault="00EC1AC0">
            <w:pPr>
              <w:pStyle w:val="Heading4"/>
              <w:numPr>
                <w:ilvl w:val="0"/>
                <w:numId w:val="0"/>
              </w:numPr>
              <w:tabs>
                <w:tab w:val="left" w:pos="720"/>
              </w:tabs>
              <w:spacing w:before="120" w:after="120"/>
              <w:ind w:left="680" w:hanging="680"/>
              <w:rPr>
                <w:sz w:val="16"/>
                <w:szCs w:val="16"/>
              </w:rPr>
            </w:pPr>
            <w:r>
              <w:rPr>
                <w:sz w:val="16"/>
                <w:szCs w:val="16"/>
              </w:rPr>
              <w:t>Percentage of votes against management: 1</w:t>
            </w:r>
            <w:r w:rsidR="000F3B0D">
              <w:rPr>
                <w:sz w:val="16"/>
                <w:szCs w:val="16"/>
              </w:rPr>
              <w:t>7.5</w:t>
            </w:r>
            <w:r>
              <w:rPr>
                <w:sz w:val="16"/>
                <w:szCs w:val="16"/>
              </w:rPr>
              <w:t>%</w:t>
            </w:r>
          </w:p>
          <w:p w14:paraId="7188C283" w14:textId="57A3D6DC" w:rsidR="00EC1AC0" w:rsidRDefault="00EC1AC0">
            <w:pPr>
              <w:pStyle w:val="Heading4"/>
              <w:numPr>
                <w:ilvl w:val="0"/>
                <w:numId w:val="0"/>
              </w:numPr>
              <w:tabs>
                <w:tab w:val="left" w:pos="720"/>
              </w:tabs>
              <w:spacing w:before="120" w:after="120"/>
              <w:ind w:left="680" w:hanging="680"/>
              <w:rPr>
                <w:b/>
                <w:color w:val="5B9BD5"/>
                <w:sz w:val="16"/>
                <w:szCs w:val="16"/>
              </w:rPr>
            </w:pPr>
            <w:r>
              <w:rPr>
                <w:sz w:val="16"/>
                <w:szCs w:val="16"/>
              </w:rPr>
              <w:t>Percentage of votes abstained from: 0.</w:t>
            </w:r>
            <w:r w:rsidR="006B2136">
              <w:rPr>
                <w:sz w:val="16"/>
                <w:szCs w:val="16"/>
              </w:rPr>
              <w:t>7</w:t>
            </w:r>
            <w:r>
              <w:rPr>
                <w:sz w:val="16"/>
                <w:szCs w:val="16"/>
              </w:rPr>
              <w:t>%</w:t>
            </w:r>
          </w:p>
        </w:tc>
      </w:tr>
      <w:tr w:rsidR="00EC1AC0" w14:paraId="569DA6FB" w14:textId="77777777" w:rsidTr="00F36BC5">
        <w:trPr>
          <w:trHeight w:val="144"/>
        </w:trPr>
        <w:tc>
          <w:tcPr>
            <w:tcW w:w="12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6F37304" w14:textId="77777777" w:rsidR="00EC1AC0" w:rsidRDefault="00EC1AC0">
            <w:pPr>
              <w:pStyle w:val="Heading4"/>
              <w:numPr>
                <w:ilvl w:val="0"/>
                <w:numId w:val="0"/>
              </w:numPr>
              <w:tabs>
                <w:tab w:val="left" w:pos="720"/>
              </w:tabs>
              <w:spacing w:before="120" w:after="120"/>
              <w:jc w:val="center"/>
              <w:rPr>
                <w:b/>
                <w:bCs w:val="0"/>
                <w:color w:val="7030A0"/>
                <w:sz w:val="16"/>
                <w:szCs w:val="16"/>
              </w:rPr>
            </w:pPr>
            <w:r>
              <w:rPr>
                <w:b/>
                <w:bCs w:val="0"/>
                <w:color w:val="7030A0"/>
                <w:sz w:val="16"/>
                <w:szCs w:val="16"/>
              </w:rPr>
              <w:t>Most significant votes cast</w:t>
            </w:r>
          </w:p>
          <w:p w14:paraId="649025D6" w14:textId="77777777" w:rsidR="00EC1AC0" w:rsidRDefault="00EC1AC0" w:rsidP="00EC1AC0">
            <w:pPr>
              <w:pStyle w:val="Heading4"/>
              <w:numPr>
                <w:ilvl w:val="3"/>
                <w:numId w:val="60"/>
              </w:numPr>
              <w:spacing w:before="120" w:after="120"/>
              <w:ind w:left="0"/>
              <w:rPr>
                <w:b/>
                <w:bCs w:val="0"/>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8643A" w14:textId="77777777" w:rsidR="00EC1AC0" w:rsidRDefault="00EC1AC0">
            <w:pPr>
              <w:pStyle w:val="Heading4"/>
              <w:numPr>
                <w:ilvl w:val="0"/>
                <w:numId w:val="0"/>
              </w:numPr>
              <w:tabs>
                <w:tab w:val="left" w:pos="720"/>
              </w:tabs>
              <w:spacing w:before="120" w:after="120"/>
              <w:rPr>
                <w:bCs w:val="0"/>
                <w:color w:val="000000"/>
                <w:sz w:val="14"/>
                <w:szCs w:val="14"/>
              </w:rPr>
            </w:pPr>
            <w:r>
              <w:rPr>
                <w:b/>
                <w:bCs w:val="0"/>
                <w:color w:val="000000"/>
                <w:sz w:val="16"/>
                <w:szCs w:val="16"/>
              </w:rPr>
              <w:t>Company</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9C49D" w14:textId="60398A21" w:rsidR="00EC1AC0" w:rsidRDefault="003D1313">
            <w:pPr>
              <w:pStyle w:val="Heading4"/>
              <w:numPr>
                <w:ilvl w:val="0"/>
                <w:numId w:val="0"/>
              </w:numPr>
              <w:tabs>
                <w:tab w:val="left" w:pos="720"/>
              </w:tabs>
              <w:spacing w:before="120" w:after="120"/>
              <w:rPr>
                <w:color w:val="000000"/>
                <w:sz w:val="14"/>
                <w:szCs w:val="14"/>
              </w:rPr>
            </w:pPr>
            <w:r w:rsidRPr="003D1313">
              <w:rPr>
                <w:color w:val="000000"/>
                <w:sz w:val="16"/>
                <w:szCs w:val="16"/>
              </w:rPr>
              <w:t>Fast Retailing Co. Limited.</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86FB7" w14:textId="6B8A4BDE" w:rsidR="00EC1AC0" w:rsidRDefault="00EA5EC5">
            <w:pPr>
              <w:pStyle w:val="Heading4"/>
              <w:numPr>
                <w:ilvl w:val="0"/>
                <w:numId w:val="0"/>
              </w:numPr>
              <w:tabs>
                <w:tab w:val="left" w:pos="720"/>
              </w:tabs>
              <w:spacing w:before="120" w:after="120"/>
              <w:rPr>
                <w:color w:val="000000"/>
                <w:sz w:val="16"/>
                <w:szCs w:val="16"/>
              </w:rPr>
            </w:pPr>
            <w:r w:rsidRPr="00EA5EC5">
              <w:rPr>
                <w:color w:val="000000"/>
                <w:sz w:val="16"/>
                <w:szCs w:val="16"/>
              </w:rPr>
              <w:t>Qantas Airways Limited</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26732" w14:textId="14E58068" w:rsidR="00EC1AC0" w:rsidRDefault="00EA5EC5">
            <w:pPr>
              <w:pStyle w:val="Heading4"/>
              <w:numPr>
                <w:ilvl w:val="0"/>
                <w:numId w:val="0"/>
              </w:numPr>
              <w:tabs>
                <w:tab w:val="left" w:pos="720"/>
              </w:tabs>
              <w:spacing w:before="120" w:after="120"/>
              <w:rPr>
                <w:color w:val="000000"/>
                <w:sz w:val="16"/>
                <w:szCs w:val="16"/>
              </w:rPr>
            </w:pPr>
            <w:r w:rsidRPr="00EA5EC5">
              <w:rPr>
                <w:color w:val="000000"/>
                <w:sz w:val="16"/>
                <w:szCs w:val="16"/>
              </w:rPr>
              <w:t>Cardinal Health</w:t>
            </w:r>
          </w:p>
        </w:tc>
      </w:tr>
      <w:tr w:rsidR="00EC1AC0" w14:paraId="1E2C79C8" w14:textId="77777777" w:rsidTr="00F36BC5">
        <w:trPr>
          <w:trHeight w:val="144"/>
        </w:trPr>
        <w:tc>
          <w:tcPr>
            <w:tcW w:w="0" w:type="auto"/>
            <w:vMerge/>
            <w:tcBorders>
              <w:top w:val="nil"/>
              <w:left w:val="single" w:sz="8" w:space="0" w:color="auto"/>
              <w:bottom w:val="single" w:sz="8" w:space="0" w:color="auto"/>
              <w:right w:val="single" w:sz="8" w:space="0" w:color="auto"/>
            </w:tcBorders>
            <w:vAlign w:val="center"/>
            <w:hideMark/>
          </w:tcPr>
          <w:p w14:paraId="791BBF66" w14:textId="77777777" w:rsidR="00EC1AC0" w:rsidRDefault="00EC1AC0">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AB28D" w14:textId="77777777" w:rsidR="00EC1AC0" w:rsidRDefault="00EC1AC0">
            <w:pPr>
              <w:pStyle w:val="Heading4"/>
              <w:numPr>
                <w:ilvl w:val="0"/>
                <w:numId w:val="0"/>
              </w:numPr>
              <w:tabs>
                <w:tab w:val="left" w:pos="720"/>
              </w:tabs>
              <w:spacing w:before="120" w:after="120"/>
              <w:rPr>
                <w:color w:val="000000"/>
                <w:sz w:val="14"/>
                <w:szCs w:val="14"/>
              </w:rPr>
            </w:pPr>
            <w:r>
              <w:rPr>
                <w:b/>
                <w:bCs w:val="0"/>
                <w:color w:val="000000"/>
                <w:sz w:val="16"/>
                <w:szCs w:val="16"/>
              </w:rPr>
              <w:t>Size of holdings</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0A6DC" w14:textId="204A496D" w:rsidR="00EC1AC0" w:rsidRDefault="0032156F">
            <w:pPr>
              <w:pStyle w:val="Heading4"/>
              <w:numPr>
                <w:ilvl w:val="0"/>
                <w:numId w:val="0"/>
              </w:numPr>
              <w:tabs>
                <w:tab w:val="left" w:pos="720"/>
              </w:tabs>
              <w:spacing w:before="120" w:after="120"/>
              <w:rPr>
                <w:color w:val="000000"/>
                <w:sz w:val="14"/>
                <w:szCs w:val="14"/>
              </w:rPr>
            </w:pPr>
            <w:r>
              <w:rPr>
                <w:color w:val="000000"/>
                <w:sz w:val="16"/>
                <w:szCs w:val="16"/>
              </w:rPr>
              <w:t>Unknown</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E2562" w14:textId="255BC8EC" w:rsidR="00EC1AC0" w:rsidRDefault="00EA5EC5">
            <w:pPr>
              <w:pStyle w:val="Heading4"/>
              <w:numPr>
                <w:ilvl w:val="0"/>
                <w:numId w:val="0"/>
              </w:numPr>
              <w:tabs>
                <w:tab w:val="left" w:pos="720"/>
              </w:tabs>
              <w:spacing w:before="120" w:after="120"/>
              <w:rPr>
                <w:color w:val="000000"/>
                <w:sz w:val="16"/>
                <w:szCs w:val="16"/>
              </w:rPr>
            </w:pPr>
            <w:r>
              <w:rPr>
                <w:color w:val="000000"/>
                <w:sz w:val="16"/>
                <w:szCs w:val="16"/>
              </w:rPr>
              <w:t>Unknown</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CE3D0" w14:textId="6EE8915B" w:rsidR="00EC1AC0" w:rsidRDefault="00EA5EC5">
            <w:pPr>
              <w:pStyle w:val="Heading4"/>
              <w:numPr>
                <w:ilvl w:val="0"/>
                <w:numId w:val="0"/>
              </w:numPr>
              <w:tabs>
                <w:tab w:val="left" w:pos="720"/>
              </w:tabs>
              <w:spacing w:before="120" w:after="120"/>
              <w:rPr>
                <w:color w:val="000000"/>
                <w:sz w:val="16"/>
                <w:szCs w:val="16"/>
              </w:rPr>
            </w:pPr>
            <w:r>
              <w:rPr>
                <w:color w:val="000000"/>
                <w:sz w:val="16"/>
                <w:szCs w:val="16"/>
              </w:rPr>
              <w:t>Unknown</w:t>
            </w:r>
          </w:p>
        </w:tc>
      </w:tr>
      <w:tr w:rsidR="00EC1AC0" w14:paraId="24EB98E6" w14:textId="77777777" w:rsidTr="00F36BC5">
        <w:trPr>
          <w:trHeight w:val="144"/>
        </w:trPr>
        <w:tc>
          <w:tcPr>
            <w:tcW w:w="0" w:type="auto"/>
            <w:vMerge/>
            <w:tcBorders>
              <w:top w:val="nil"/>
              <w:left w:val="single" w:sz="8" w:space="0" w:color="auto"/>
              <w:bottom w:val="single" w:sz="8" w:space="0" w:color="auto"/>
              <w:right w:val="single" w:sz="8" w:space="0" w:color="auto"/>
            </w:tcBorders>
            <w:vAlign w:val="center"/>
            <w:hideMark/>
          </w:tcPr>
          <w:p w14:paraId="2B48B19E" w14:textId="77777777" w:rsidR="00EC1AC0" w:rsidRDefault="00EC1AC0">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2CA93" w14:textId="77777777" w:rsidR="00EC1AC0" w:rsidRDefault="00EC1AC0">
            <w:pPr>
              <w:pStyle w:val="Heading4"/>
              <w:numPr>
                <w:ilvl w:val="0"/>
                <w:numId w:val="0"/>
              </w:numPr>
              <w:tabs>
                <w:tab w:val="left" w:pos="720"/>
              </w:tabs>
              <w:spacing w:before="120" w:after="120"/>
              <w:rPr>
                <w:color w:val="000000"/>
                <w:sz w:val="14"/>
                <w:szCs w:val="14"/>
              </w:rPr>
            </w:pPr>
            <w:r>
              <w:rPr>
                <w:b/>
                <w:bCs w:val="0"/>
                <w:color w:val="000000"/>
                <w:sz w:val="16"/>
                <w:szCs w:val="16"/>
              </w:rPr>
              <w:t>Resolution</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22A85" w14:textId="740545B3" w:rsidR="00EC1AC0" w:rsidRDefault="00387543">
            <w:pPr>
              <w:pStyle w:val="Heading4"/>
              <w:numPr>
                <w:ilvl w:val="0"/>
                <w:numId w:val="0"/>
              </w:numPr>
              <w:tabs>
                <w:tab w:val="left" w:pos="720"/>
              </w:tabs>
              <w:spacing w:before="120" w:after="120"/>
              <w:rPr>
                <w:color w:val="000000"/>
                <w:sz w:val="14"/>
                <w:szCs w:val="14"/>
              </w:rPr>
            </w:pPr>
            <w:r w:rsidRPr="00387543">
              <w:rPr>
                <w:color w:val="000000"/>
                <w:sz w:val="16"/>
                <w:szCs w:val="16"/>
              </w:rPr>
              <w:t xml:space="preserve">Elect Director </w:t>
            </w:r>
            <w:proofErr w:type="spellStart"/>
            <w:r w:rsidRPr="00387543">
              <w:rPr>
                <w:color w:val="000000"/>
                <w:sz w:val="16"/>
                <w:szCs w:val="16"/>
              </w:rPr>
              <w:t>Yanai</w:t>
            </w:r>
            <w:proofErr w:type="spellEnd"/>
            <w:r w:rsidRPr="00387543">
              <w:rPr>
                <w:color w:val="000000"/>
                <w:sz w:val="16"/>
                <w:szCs w:val="16"/>
              </w:rPr>
              <w:t xml:space="preserve"> Tadashi</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5DDE0" w14:textId="5E1EBC43" w:rsidR="007650B9" w:rsidRDefault="007650B9">
            <w:pPr>
              <w:pStyle w:val="Heading4"/>
              <w:numPr>
                <w:ilvl w:val="0"/>
                <w:numId w:val="0"/>
              </w:numPr>
              <w:tabs>
                <w:tab w:val="left" w:pos="720"/>
              </w:tabs>
              <w:spacing w:before="120" w:after="120"/>
              <w:rPr>
                <w:color w:val="000000"/>
                <w:sz w:val="16"/>
                <w:szCs w:val="16"/>
              </w:rPr>
            </w:pPr>
            <w:r w:rsidRPr="007650B9">
              <w:rPr>
                <w:color w:val="000000"/>
                <w:sz w:val="16"/>
                <w:szCs w:val="16"/>
              </w:rPr>
              <w:t>Approve Remuneration Report.</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D9EA2" w14:textId="6FD72748" w:rsidR="00EC1AC0" w:rsidRDefault="009B587D">
            <w:pPr>
              <w:pStyle w:val="Heading4"/>
              <w:numPr>
                <w:ilvl w:val="0"/>
                <w:numId w:val="0"/>
              </w:numPr>
              <w:tabs>
                <w:tab w:val="left" w:pos="720"/>
              </w:tabs>
              <w:spacing w:before="120" w:after="120"/>
              <w:rPr>
                <w:color w:val="000000"/>
                <w:sz w:val="16"/>
                <w:szCs w:val="16"/>
              </w:rPr>
            </w:pPr>
            <w:r w:rsidRPr="009B587D">
              <w:rPr>
                <w:color w:val="000000"/>
                <w:sz w:val="16"/>
                <w:szCs w:val="16"/>
              </w:rPr>
              <w:t>Advisory Vote to Ratify Named Executive Officers' Compensation</w:t>
            </w:r>
          </w:p>
        </w:tc>
      </w:tr>
      <w:tr w:rsidR="00EC1AC0" w14:paraId="7EEA7090" w14:textId="77777777" w:rsidTr="00F36BC5">
        <w:trPr>
          <w:trHeight w:val="144"/>
        </w:trPr>
        <w:tc>
          <w:tcPr>
            <w:tcW w:w="0" w:type="auto"/>
            <w:vMerge/>
            <w:tcBorders>
              <w:top w:val="nil"/>
              <w:left w:val="single" w:sz="8" w:space="0" w:color="auto"/>
              <w:bottom w:val="single" w:sz="8" w:space="0" w:color="auto"/>
              <w:right w:val="single" w:sz="8" w:space="0" w:color="auto"/>
            </w:tcBorders>
            <w:vAlign w:val="center"/>
            <w:hideMark/>
          </w:tcPr>
          <w:p w14:paraId="7D55868B" w14:textId="77777777" w:rsidR="00EC1AC0" w:rsidRDefault="00EC1AC0">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77E47" w14:textId="77777777" w:rsidR="00EC1AC0" w:rsidRDefault="00EC1AC0">
            <w:pPr>
              <w:pStyle w:val="Heading4"/>
              <w:numPr>
                <w:ilvl w:val="0"/>
                <w:numId w:val="0"/>
              </w:numPr>
              <w:tabs>
                <w:tab w:val="left" w:pos="720"/>
              </w:tabs>
              <w:spacing w:before="120" w:after="120"/>
              <w:rPr>
                <w:color w:val="000000"/>
                <w:sz w:val="14"/>
                <w:szCs w:val="14"/>
              </w:rPr>
            </w:pPr>
            <w:r>
              <w:rPr>
                <w:b/>
                <w:bCs w:val="0"/>
                <w:color w:val="000000"/>
                <w:sz w:val="16"/>
                <w:szCs w:val="16"/>
              </w:rPr>
              <w:t>Decision /Vote</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44655" w14:textId="51021D2B" w:rsidR="00EC1AC0" w:rsidRDefault="00387543">
            <w:pPr>
              <w:pStyle w:val="Heading4"/>
              <w:numPr>
                <w:ilvl w:val="0"/>
                <w:numId w:val="0"/>
              </w:numPr>
              <w:tabs>
                <w:tab w:val="left" w:pos="720"/>
              </w:tabs>
              <w:spacing w:before="120" w:after="120"/>
              <w:rPr>
                <w:color w:val="000000"/>
                <w:sz w:val="14"/>
                <w:szCs w:val="14"/>
              </w:rPr>
            </w:pPr>
            <w:r w:rsidRPr="00387543">
              <w:rPr>
                <w:color w:val="000000"/>
                <w:sz w:val="16"/>
                <w:szCs w:val="16"/>
              </w:rPr>
              <w:t>Against</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AEADF" w14:textId="1D4F8C08" w:rsidR="001A4660" w:rsidRDefault="001A4660">
            <w:pPr>
              <w:pStyle w:val="Heading4"/>
              <w:numPr>
                <w:ilvl w:val="0"/>
                <w:numId w:val="0"/>
              </w:numPr>
              <w:tabs>
                <w:tab w:val="left" w:pos="720"/>
              </w:tabs>
              <w:spacing w:before="120" w:after="120"/>
              <w:rPr>
                <w:color w:val="000000"/>
                <w:sz w:val="16"/>
                <w:szCs w:val="16"/>
              </w:rPr>
            </w:pPr>
            <w:r>
              <w:rPr>
                <w:color w:val="000000"/>
                <w:sz w:val="16"/>
                <w:szCs w:val="16"/>
              </w:rPr>
              <w:t>For</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12523" w14:textId="2924D843" w:rsidR="00EC1AC0" w:rsidRDefault="009B587D">
            <w:pPr>
              <w:pStyle w:val="Heading4"/>
              <w:numPr>
                <w:ilvl w:val="0"/>
                <w:numId w:val="0"/>
              </w:numPr>
              <w:tabs>
                <w:tab w:val="left" w:pos="720"/>
              </w:tabs>
              <w:spacing w:before="120" w:after="120"/>
              <w:rPr>
                <w:color w:val="000000"/>
                <w:sz w:val="16"/>
                <w:szCs w:val="16"/>
              </w:rPr>
            </w:pPr>
            <w:r>
              <w:rPr>
                <w:color w:val="000000"/>
                <w:sz w:val="16"/>
                <w:szCs w:val="16"/>
              </w:rPr>
              <w:t>Against</w:t>
            </w:r>
          </w:p>
        </w:tc>
      </w:tr>
      <w:tr w:rsidR="00EC1AC0" w14:paraId="0F3B0D53" w14:textId="77777777" w:rsidTr="00F36BC5">
        <w:trPr>
          <w:trHeight w:val="144"/>
        </w:trPr>
        <w:tc>
          <w:tcPr>
            <w:tcW w:w="0" w:type="auto"/>
            <w:vMerge/>
            <w:tcBorders>
              <w:top w:val="nil"/>
              <w:left w:val="single" w:sz="8" w:space="0" w:color="auto"/>
              <w:bottom w:val="single" w:sz="8" w:space="0" w:color="auto"/>
              <w:right w:val="single" w:sz="8" w:space="0" w:color="auto"/>
            </w:tcBorders>
            <w:vAlign w:val="center"/>
            <w:hideMark/>
          </w:tcPr>
          <w:p w14:paraId="02ED395B" w14:textId="77777777" w:rsidR="00EC1AC0" w:rsidRDefault="00EC1AC0">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E010B" w14:textId="77777777" w:rsidR="00EC1AC0" w:rsidRDefault="00EC1AC0">
            <w:pPr>
              <w:pStyle w:val="Heading4"/>
              <w:numPr>
                <w:ilvl w:val="0"/>
                <w:numId w:val="0"/>
              </w:numPr>
              <w:tabs>
                <w:tab w:val="left" w:pos="720"/>
              </w:tabs>
              <w:spacing w:before="120" w:after="120"/>
              <w:rPr>
                <w:color w:val="000000"/>
                <w:sz w:val="14"/>
                <w:szCs w:val="14"/>
              </w:rPr>
            </w:pPr>
            <w:r>
              <w:rPr>
                <w:b/>
                <w:bCs w:val="0"/>
                <w:color w:val="000000"/>
                <w:sz w:val="16"/>
                <w:szCs w:val="16"/>
              </w:rPr>
              <w:t>Rationale for decision</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AEA8C" w14:textId="1CC41E52" w:rsidR="00EC1AC0" w:rsidRDefault="00C158E2">
            <w:pPr>
              <w:pStyle w:val="Heading4"/>
              <w:numPr>
                <w:ilvl w:val="0"/>
                <w:numId w:val="0"/>
              </w:numPr>
              <w:tabs>
                <w:tab w:val="left" w:pos="720"/>
              </w:tabs>
              <w:spacing w:before="120" w:after="120"/>
              <w:rPr>
                <w:color w:val="000000"/>
                <w:sz w:val="14"/>
                <w:szCs w:val="14"/>
              </w:rPr>
            </w:pPr>
            <w:r w:rsidRPr="00C158E2">
              <w:rPr>
                <w:color w:val="000000"/>
                <w:sz w:val="16"/>
                <w:szCs w:val="16"/>
              </w:rPr>
              <w:t xml:space="preserve">LGIM has for many years promoted and supported an increase of appointing more women on boards, at the executive level and below. On a global level </w:t>
            </w:r>
            <w:r>
              <w:rPr>
                <w:color w:val="000000"/>
                <w:sz w:val="16"/>
                <w:szCs w:val="16"/>
              </w:rPr>
              <w:t>LGIM</w:t>
            </w:r>
            <w:r w:rsidRPr="00C158E2">
              <w:rPr>
                <w:color w:val="000000"/>
                <w:sz w:val="16"/>
                <w:szCs w:val="16"/>
              </w:rPr>
              <w:t xml:space="preserve"> consider that every board should have at least one female director. </w:t>
            </w:r>
            <w:r w:rsidR="006D3FEF">
              <w:rPr>
                <w:color w:val="000000"/>
                <w:sz w:val="16"/>
                <w:szCs w:val="16"/>
              </w:rPr>
              <w:t>They</w:t>
            </w:r>
            <w:r w:rsidRPr="00C158E2">
              <w:rPr>
                <w:color w:val="000000"/>
                <w:sz w:val="16"/>
                <w:szCs w:val="16"/>
              </w:rPr>
              <w:t xml:space="preserve"> deem this a de minimis standard.</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4EEC0" w14:textId="0FBBCBC0" w:rsidR="00EC1AC0" w:rsidRDefault="00BF01EA">
            <w:pPr>
              <w:pStyle w:val="Heading4"/>
              <w:numPr>
                <w:ilvl w:val="0"/>
                <w:numId w:val="0"/>
              </w:numPr>
              <w:tabs>
                <w:tab w:val="left" w:pos="720"/>
              </w:tabs>
              <w:spacing w:before="120" w:after="120"/>
              <w:rPr>
                <w:color w:val="000000"/>
                <w:sz w:val="16"/>
                <w:szCs w:val="16"/>
              </w:rPr>
            </w:pPr>
            <w:r>
              <w:rPr>
                <w:color w:val="000000"/>
                <w:sz w:val="16"/>
                <w:szCs w:val="16"/>
              </w:rPr>
              <w:t>LGIM</w:t>
            </w:r>
            <w:r w:rsidRPr="00BF01EA">
              <w:rPr>
                <w:color w:val="000000"/>
                <w:sz w:val="16"/>
                <w:szCs w:val="16"/>
              </w:rPr>
              <w:t xml:space="preserve"> supported the remuneration report given the executive salary cuts, short-term incentive cancellations and the CEO</w:t>
            </w:r>
            <w:r>
              <w:rPr>
                <w:color w:val="000000"/>
                <w:sz w:val="16"/>
                <w:szCs w:val="16"/>
              </w:rPr>
              <w:t>’</w:t>
            </w:r>
            <w:r w:rsidRPr="00BF01EA">
              <w:rPr>
                <w:color w:val="000000"/>
                <w:sz w:val="16"/>
                <w:szCs w:val="16"/>
              </w:rPr>
              <w:t xml:space="preserve">s voluntary decision to defer the vesting of the long-term incentive plan (LTIP), </w:t>
            </w:r>
            <w:proofErr w:type="gramStart"/>
            <w:r w:rsidRPr="00BF01EA">
              <w:rPr>
                <w:color w:val="000000"/>
                <w:sz w:val="16"/>
                <w:szCs w:val="16"/>
              </w:rPr>
              <w:t>in light of</w:t>
            </w:r>
            <w:proofErr w:type="gramEnd"/>
            <w:r w:rsidRPr="00BF01EA">
              <w:rPr>
                <w:color w:val="000000"/>
                <w:sz w:val="16"/>
                <w:szCs w:val="16"/>
              </w:rPr>
              <w:t xml:space="preserve"> the pandemic.</w:t>
            </w:r>
            <w:r>
              <w:rPr>
                <w:color w:val="000000"/>
                <w:sz w:val="16"/>
                <w:szCs w:val="16"/>
              </w:rPr>
              <w:t xml:space="preserve"> </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192F" w14:textId="77323D90" w:rsidR="00EC1AC0" w:rsidRDefault="00D5482F">
            <w:pPr>
              <w:pStyle w:val="Heading4"/>
              <w:numPr>
                <w:ilvl w:val="0"/>
                <w:numId w:val="0"/>
              </w:numPr>
              <w:tabs>
                <w:tab w:val="left" w:pos="720"/>
              </w:tabs>
              <w:spacing w:before="120" w:after="120"/>
              <w:rPr>
                <w:color w:val="000000"/>
                <w:sz w:val="16"/>
                <w:szCs w:val="16"/>
              </w:rPr>
            </w:pPr>
            <w:r w:rsidRPr="00D5482F">
              <w:rPr>
                <w:color w:val="000000"/>
                <w:sz w:val="16"/>
                <w:szCs w:val="16"/>
              </w:rPr>
              <w:t xml:space="preserve">LGIM has in previous years voted against </w:t>
            </w:r>
            <w:proofErr w:type="spellStart"/>
            <w:r w:rsidRPr="00D5482F">
              <w:rPr>
                <w:color w:val="000000"/>
                <w:sz w:val="16"/>
                <w:szCs w:val="16"/>
              </w:rPr>
              <w:t>executives</w:t>
            </w:r>
            <w:proofErr w:type="spellEnd"/>
            <w:r w:rsidRPr="00D5482F">
              <w:rPr>
                <w:color w:val="000000"/>
                <w:sz w:val="16"/>
                <w:szCs w:val="16"/>
              </w:rPr>
              <w:t xml:space="preserve">    pay packages due to concerns over the remuneration structure not comprising a </w:t>
            </w:r>
            <w:proofErr w:type="gramStart"/>
            <w:r w:rsidRPr="00D5482F">
              <w:rPr>
                <w:color w:val="000000"/>
                <w:sz w:val="16"/>
                <w:szCs w:val="16"/>
              </w:rPr>
              <w:t>sufficient</w:t>
            </w:r>
            <w:proofErr w:type="gramEnd"/>
            <w:r w:rsidRPr="00D5482F">
              <w:rPr>
                <w:color w:val="000000"/>
                <w:sz w:val="16"/>
                <w:szCs w:val="16"/>
              </w:rPr>
              <w:t xml:space="preserve"> proportion of awards assessed against the company</w:t>
            </w:r>
            <w:r>
              <w:rPr>
                <w:color w:val="000000"/>
                <w:sz w:val="16"/>
                <w:szCs w:val="16"/>
              </w:rPr>
              <w:t>’</w:t>
            </w:r>
            <w:r w:rsidRPr="00D5482F">
              <w:rPr>
                <w:color w:val="000000"/>
                <w:sz w:val="16"/>
                <w:szCs w:val="16"/>
              </w:rPr>
              <w:t xml:space="preserve">s performance. </w:t>
            </w:r>
          </w:p>
        </w:tc>
      </w:tr>
      <w:tr w:rsidR="00EC1AC0" w14:paraId="567D41DD" w14:textId="77777777" w:rsidTr="00F36BC5">
        <w:trPr>
          <w:trHeight w:val="144"/>
        </w:trPr>
        <w:tc>
          <w:tcPr>
            <w:tcW w:w="0" w:type="auto"/>
            <w:vMerge/>
            <w:tcBorders>
              <w:top w:val="nil"/>
              <w:left w:val="single" w:sz="8" w:space="0" w:color="auto"/>
              <w:bottom w:val="single" w:sz="8" w:space="0" w:color="auto"/>
              <w:right w:val="single" w:sz="8" w:space="0" w:color="auto"/>
            </w:tcBorders>
            <w:vAlign w:val="center"/>
            <w:hideMark/>
          </w:tcPr>
          <w:p w14:paraId="677AD62F" w14:textId="77777777" w:rsidR="00EC1AC0" w:rsidRDefault="00EC1AC0">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7A948" w14:textId="77777777" w:rsidR="00EC1AC0" w:rsidRDefault="00EC1AC0">
            <w:pPr>
              <w:pStyle w:val="Heading4"/>
              <w:numPr>
                <w:ilvl w:val="0"/>
                <w:numId w:val="0"/>
              </w:numPr>
              <w:tabs>
                <w:tab w:val="left" w:pos="720"/>
              </w:tabs>
              <w:spacing w:before="120" w:after="120"/>
              <w:rPr>
                <w:color w:val="000000"/>
                <w:sz w:val="14"/>
                <w:szCs w:val="14"/>
              </w:rPr>
            </w:pPr>
            <w:r>
              <w:rPr>
                <w:b/>
                <w:bCs w:val="0"/>
                <w:color w:val="000000"/>
                <w:sz w:val="16"/>
                <w:szCs w:val="16"/>
              </w:rPr>
              <w:t>Rationale for classifying as significant</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611AF" w14:textId="215E9BB6" w:rsidR="00EC1AC0" w:rsidRDefault="008B41DD">
            <w:pPr>
              <w:pStyle w:val="Heading4"/>
              <w:numPr>
                <w:ilvl w:val="0"/>
                <w:numId w:val="0"/>
              </w:numPr>
              <w:tabs>
                <w:tab w:val="left" w:pos="720"/>
              </w:tabs>
              <w:spacing w:before="120" w:after="120"/>
              <w:rPr>
                <w:color w:val="000000"/>
                <w:sz w:val="14"/>
                <w:szCs w:val="14"/>
              </w:rPr>
            </w:pPr>
            <w:r w:rsidRPr="008B41DD">
              <w:rPr>
                <w:color w:val="000000"/>
                <w:sz w:val="16"/>
                <w:szCs w:val="16"/>
              </w:rPr>
              <w:t>LGIM considers it imperative that the boards of Japanese companies increase their diversity.</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16162" w14:textId="75CBBE72" w:rsidR="00EC1AC0" w:rsidRDefault="004E432C">
            <w:pPr>
              <w:pStyle w:val="Heading4"/>
              <w:numPr>
                <w:ilvl w:val="0"/>
                <w:numId w:val="0"/>
              </w:numPr>
              <w:tabs>
                <w:tab w:val="left" w:pos="720"/>
              </w:tabs>
              <w:spacing w:before="120" w:after="120"/>
              <w:rPr>
                <w:color w:val="5B9BD5"/>
                <w:sz w:val="16"/>
                <w:szCs w:val="16"/>
              </w:rPr>
            </w:pPr>
            <w:r>
              <w:rPr>
                <w:sz w:val="16"/>
                <w:szCs w:val="16"/>
              </w:rPr>
              <w:t>H</w:t>
            </w:r>
            <w:r w:rsidRPr="004E432C">
              <w:rPr>
                <w:sz w:val="16"/>
                <w:szCs w:val="16"/>
              </w:rPr>
              <w:t>ighlights the challenges of factoring in the impact of the COVID situation into the executive remuneration package.</w:t>
            </w:r>
          </w:p>
        </w:tc>
        <w:tc>
          <w:tcPr>
            <w:tcW w:w="2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1BB5A" w14:textId="05A1758A" w:rsidR="00EC1AC0" w:rsidRDefault="004D4789">
            <w:pPr>
              <w:pStyle w:val="Heading4"/>
              <w:numPr>
                <w:ilvl w:val="0"/>
                <w:numId w:val="0"/>
              </w:numPr>
              <w:tabs>
                <w:tab w:val="left" w:pos="720"/>
              </w:tabs>
              <w:spacing w:before="120" w:after="120"/>
              <w:rPr>
                <w:color w:val="5B9BD5"/>
                <w:sz w:val="16"/>
                <w:szCs w:val="16"/>
              </w:rPr>
            </w:pPr>
            <w:r>
              <w:rPr>
                <w:sz w:val="16"/>
                <w:szCs w:val="16"/>
              </w:rPr>
              <w:t>LGIM</w:t>
            </w:r>
            <w:r w:rsidRPr="004D4789">
              <w:rPr>
                <w:sz w:val="16"/>
                <w:szCs w:val="16"/>
              </w:rPr>
              <w:t xml:space="preserve"> believe it is imperative that pay structures are aligned with company performance and that certain expenses over which directors have control and influence should not be allowed to be excluded in the calculation of their pay</w:t>
            </w:r>
            <w:r>
              <w:rPr>
                <w:sz w:val="16"/>
                <w:szCs w:val="16"/>
              </w:rPr>
              <w:t>.</w:t>
            </w:r>
          </w:p>
        </w:tc>
      </w:tr>
    </w:tbl>
    <w:p w14:paraId="2C6AF977" w14:textId="1E26EA67" w:rsidR="00EC1AC0" w:rsidRDefault="00EC1AC0" w:rsidP="00EC1AC0">
      <w:pPr>
        <w:rPr>
          <w:rFonts w:ascii="Calibri" w:eastAsiaTheme="minorHAnsi" w:hAnsi="Calibri" w:cs="Calibri"/>
          <w:sz w:val="22"/>
          <w:szCs w:val="22"/>
        </w:rPr>
      </w:pPr>
    </w:p>
    <w:p w14:paraId="55FB3EE5" w14:textId="22A8A9FD" w:rsidR="004D4789" w:rsidRDefault="004D4789" w:rsidP="00EC1AC0">
      <w:pPr>
        <w:rPr>
          <w:rFonts w:ascii="Calibri" w:eastAsiaTheme="minorHAnsi" w:hAnsi="Calibri" w:cs="Calibri"/>
          <w:sz w:val="22"/>
          <w:szCs w:val="22"/>
        </w:rPr>
      </w:pPr>
    </w:p>
    <w:p w14:paraId="2B6DBD80" w14:textId="1B26E4C0" w:rsidR="004D4789" w:rsidRDefault="004D4789" w:rsidP="004D4789">
      <w:pPr>
        <w:pStyle w:val="ListBullet"/>
        <w:numPr>
          <w:ilvl w:val="0"/>
          <w:numId w:val="0"/>
        </w:numPr>
        <w:tabs>
          <w:tab w:val="left" w:pos="720"/>
        </w:tabs>
        <w:rPr>
          <w:rFonts w:ascii="Arial" w:hAnsi="Arial" w:cs="Arial"/>
          <w:b/>
          <w:bCs/>
          <w:color w:val="000000"/>
          <w:sz w:val="16"/>
          <w:szCs w:val="16"/>
        </w:rPr>
      </w:pPr>
      <w:r w:rsidRPr="004D4789">
        <w:rPr>
          <w:rFonts w:ascii="Arial" w:hAnsi="Arial" w:cs="Arial"/>
          <w:b/>
          <w:bCs/>
          <w:color w:val="000000"/>
          <w:sz w:val="16"/>
          <w:szCs w:val="16"/>
        </w:rPr>
        <w:t xml:space="preserve">LGIM </w:t>
      </w:r>
      <w:proofErr w:type="spellStart"/>
      <w:r w:rsidRPr="004D4789">
        <w:rPr>
          <w:rFonts w:ascii="Arial" w:hAnsi="Arial" w:cs="Arial"/>
          <w:b/>
          <w:bCs/>
          <w:color w:val="000000"/>
          <w:sz w:val="16"/>
          <w:szCs w:val="16"/>
        </w:rPr>
        <w:t>Robeco</w:t>
      </w:r>
      <w:proofErr w:type="spellEnd"/>
      <w:r w:rsidRPr="004D4789">
        <w:rPr>
          <w:rFonts w:ascii="Arial" w:hAnsi="Arial" w:cs="Arial"/>
          <w:b/>
          <w:bCs/>
          <w:color w:val="000000"/>
          <w:sz w:val="16"/>
          <w:szCs w:val="16"/>
        </w:rPr>
        <w:t xml:space="preserve"> Global Sustainable Multi-Factor Equity Fund</w:t>
      </w:r>
    </w:p>
    <w:tbl>
      <w:tblPr>
        <w:tblW w:w="9190" w:type="dxa"/>
        <w:tblInd w:w="-5" w:type="dxa"/>
        <w:tblCellMar>
          <w:left w:w="0" w:type="dxa"/>
          <w:right w:w="0" w:type="dxa"/>
        </w:tblCellMar>
        <w:tblLook w:val="04A0" w:firstRow="1" w:lastRow="0" w:firstColumn="1" w:lastColumn="0" w:noHBand="0" w:noVBand="1"/>
      </w:tblPr>
      <w:tblGrid>
        <w:gridCol w:w="1228"/>
        <w:gridCol w:w="1249"/>
        <w:gridCol w:w="3188"/>
        <w:gridCol w:w="3525"/>
      </w:tblGrid>
      <w:tr w:rsidR="004D4789" w14:paraId="7C2F0501" w14:textId="77777777" w:rsidTr="00724DB3">
        <w:trPr>
          <w:trHeight w:val="164"/>
        </w:trPr>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B8FFF" w14:textId="77777777" w:rsidR="004D4789" w:rsidRDefault="004D4789" w:rsidP="00724DB3">
            <w:pPr>
              <w:pStyle w:val="Heading4"/>
              <w:numPr>
                <w:ilvl w:val="0"/>
                <w:numId w:val="0"/>
              </w:numPr>
              <w:tabs>
                <w:tab w:val="left" w:pos="720"/>
              </w:tabs>
              <w:spacing w:before="120" w:after="120"/>
              <w:jc w:val="center"/>
              <w:rPr>
                <w:rFonts w:cs="Arial"/>
                <w:b/>
                <w:bCs w:val="0"/>
                <w:color w:val="7030A0"/>
                <w:sz w:val="16"/>
                <w:szCs w:val="16"/>
              </w:rPr>
            </w:pPr>
            <w:r>
              <w:rPr>
                <w:b/>
                <w:bCs w:val="0"/>
                <w:color w:val="7030A0"/>
                <w:sz w:val="16"/>
                <w:szCs w:val="16"/>
              </w:rPr>
              <w:t>Voting activity</w:t>
            </w:r>
          </w:p>
        </w:tc>
        <w:tc>
          <w:tcPr>
            <w:tcW w:w="796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001D4" w14:textId="0FEBE866" w:rsidR="004D4789" w:rsidRDefault="004D4789" w:rsidP="00724DB3">
            <w:pPr>
              <w:pStyle w:val="Heading4"/>
              <w:numPr>
                <w:ilvl w:val="0"/>
                <w:numId w:val="0"/>
              </w:numPr>
              <w:tabs>
                <w:tab w:val="left" w:pos="720"/>
              </w:tabs>
              <w:spacing w:before="120" w:after="120"/>
              <w:ind w:left="680" w:hanging="680"/>
              <w:rPr>
                <w:bCs w:val="0"/>
                <w:sz w:val="16"/>
                <w:szCs w:val="16"/>
              </w:rPr>
            </w:pPr>
            <w:r>
              <w:rPr>
                <w:sz w:val="16"/>
                <w:szCs w:val="16"/>
              </w:rPr>
              <w:t xml:space="preserve">Number of votes eligible to cast: </w:t>
            </w:r>
            <w:r w:rsidR="0034604A" w:rsidRPr="0034604A">
              <w:rPr>
                <w:sz w:val="16"/>
                <w:szCs w:val="16"/>
              </w:rPr>
              <w:t>2</w:t>
            </w:r>
            <w:r w:rsidR="00A222FE">
              <w:rPr>
                <w:sz w:val="16"/>
                <w:szCs w:val="16"/>
              </w:rPr>
              <w:t>,</w:t>
            </w:r>
            <w:r w:rsidR="0034604A" w:rsidRPr="0034604A">
              <w:rPr>
                <w:sz w:val="16"/>
                <w:szCs w:val="16"/>
              </w:rPr>
              <w:t>670</w:t>
            </w:r>
          </w:p>
          <w:p w14:paraId="5F72F3D6" w14:textId="57383518" w:rsidR="004D4789" w:rsidRDefault="004D4789" w:rsidP="00724DB3">
            <w:pPr>
              <w:pStyle w:val="Heading4"/>
              <w:numPr>
                <w:ilvl w:val="0"/>
                <w:numId w:val="0"/>
              </w:numPr>
              <w:tabs>
                <w:tab w:val="left" w:pos="720"/>
              </w:tabs>
              <w:spacing w:before="120" w:after="120"/>
              <w:ind w:left="680" w:hanging="680"/>
              <w:rPr>
                <w:sz w:val="16"/>
                <w:szCs w:val="16"/>
              </w:rPr>
            </w:pPr>
            <w:r>
              <w:rPr>
                <w:sz w:val="16"/>
                <w:szCs w:val="16"/>
              </w:rPr>
              <w:t>Percentage of eligible votes cast: 99.</w:t>
            </w:r>
            <w:r w:rsidR="00A222FE">
              <w:rPr>
                <w:sz w:val="16"/>
                <w:szCs w:val="16"/>
              </w:rPr>
              <w:t>7</w:t>
            </w:r>
            <w:r>
              <w:rPr>
                <w:sz w:val="16"/>
                <w:szCs w:val="16"/>
              </w:rPr>
              <w:t>%</w:t>
            </w:r>
          </w:p>
          <w:p w14:paraId="58014011" w14:textId="6849EF99" w:rsidR="004D4789" w:rsidRDefault="004D4789" w:rsidP="00724DB3">
            <w:pPr>
              <w:pStyle w:val="Heading4"/>
              <w:numPr>
                <w:ilvl w:val="0"/>
                <w:numId w:val="0"/>
              </w:numPr>
              <w:tabs>
                <w:tab w:val="left" w:pos="720"/>
              </w:tabs>
              <w:spacing w:before="120" w:after="120"/>
              <w:ind w:left="680" w:hanging="680"/>
              <w:rPr>
                <w:sz w:val="16"/>
                <w:szCs w:val="16"/>
              </w:rPr>
            </w:pPr>
            <w:r>
              <w:rPr>
                <w:sz w:val="16"/>
                <w:szCs w:val="16"/>
              </w:rPr>
              <w:t>Percentage of votes with management: 81.</w:t>
            </w:r>
            <w:r w:rsidR="00A222FE">
              <w:rPr>
                <w:sz w:val="16"/>
                <w:szCs w:val="16"/>
              </w:rPr>
              <w:t>9</w:t>
            </w:r>
            <w:r>
              <w:rPr>
                <w:sz w:val="16"/>
                <w:szCs w:val="16"/>
              </w:rPr>
              <w:t>%</w:t>
            </w:r>
          </w:p>
          <w:p w14:paraId="4303B886" w14:textId="1422397D" w:rsidR="004D4789" w:rsidRDefault="004D4789" w:rsidP="00724DB3">
            <w:pPr>
              <w:pStyle w:val="Heading4"/>
              <w:numPr>
                <w:ilvl w:val="0"/>
                <w:numId w:val="0"/>
              </w:numPr>
              <w:tabs>
                <w:tab w:val="left" w:pos="720"/>
              </w:tabs>
              <w:spacing w:before="120" w:after="120"/>
              <w:ind w:left="680" w:hanging="680"/>
              <w:rPr>
                <w:sz w:val="16"/>
                <w:szCs w:val="16"/>
              </w:rPr>
            </w:pPr>
            <w:r>
              <w:rPr>
                <w:sz w:val="16"/>
                <w:szCs w:val="16"/>
              </w:rPr>
              <w:t>Percentage of votes against management: 17.</w:t>
            </w:r>
            <w:r w:rsidR="00A222FE">
              <w:rPr>
                <w:sz w:val="16"/>
                <w:szCs w:val="16"/>
              </w:rPr>
              <w:t>7</w:t>
            </w:r>
            <w:r>
              <w:rPr>
                <w:sz w:val="16"/>
                <w:szCs w:val="16"/>
              </w:rPr>
              <w:t>%</w:t>
            </w:r>
          </w:p>
          <w:p w14:paraId="00CAB930" w14:textId="3B96797B" w:rsidR="004D4789" w:rsidRDefault="004D4789" w:rsidP="00724DB3">
            <w:pPr>
              <w:pStyle w:val="Heading4"/>
              <w:numPr>
                <w:ilvl w:val="0"/>
                <w:numId w:val="0"/>
              </w:numPr>
              <w:tabs>
                <w:tab w:val="left" w:pos="720"/>
              </w:tabs>
              <w:spacing w:before="120" w:after="120"/>
              <w:ind w:left="680" w:hanging="680"/>
              <w:rPr>
                <w:b/>
                <w:color w:val="5B9BD5"/>
                <w:sz w:val="16"/>
                <w:szCs w:val="16"/>
              </w:rPr>
            </w:pPr>
            <w:r>
              <w:rPr>
                <w:sz w:val="16"/>
                <w:szCs w:val="16"/>
              </w:rPr>
              <w:t>Percentage of votes abstained from: 0.</w:t>
            </w:r>
            <w:r w:rsidR="00A222FE">
              <w:rPr>
                <w:sz w:val="16"/>
                <w:szCs w:val="16"/>
              </w:rPr>
              <w:t>4</w:t>
            </w:r>
            <w:r>
              <w:rPr>
                <w:sz w:val="16"/>
                <w:szCs w:val="16"/>
              </w:rPr>
              <w:t>%</w:t>
            </w:r>
          </w:p>
        </w:tc>
      </w:tr>
      <w:tr w:rsidR="0028691B" w14:paraId="09A1908F" w14:textId="77777777" w:rsidTr="0028691B">
        <w:trPr>
          <w:trHeight w:val="144"/>
        </w:trPr>
        <w:tc>
          <w:tcPr>
            <w:tcW w:w="12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2DFFBC4" w14:textId="77777777" w:rsidR="0028691B" w:rsidRDefault="0028691B" w:rsidP="00724DB3">
            <w:pPr>
              <w:pStyle w:val="Heading4"/>
              <w:numPr>
                <w:ilvl w:val="0"/>
                <w:numId w:val="0"/>
              </w:numPr>
              <w:tabs>
                <w:tab w:val="left" w:pos="720"/>
              </w:tabs>
              <w:spacing w:before="120" w:after="120"/>
              <w:jc w:val="center"/>
              <w:rPr>
                <w:b/>
                <w:bCs w:val="0"/>
                <w:color w:val="7030A0"/>
                <w:sz w:val="16"/>
                <w:szCs w:val="16"/>
              </w:rPr>
            </w:pPr>
            <w:r>
              <w:rPr>
                <w:b/>
                <w:bCs w:val="0"/>
                <w:color w:val="7030A0"/>
                <w:sz w:val="16"/>
                <w:szCs w:val="16"/>
              </w:rPr>
              <w:t>Most significant votes cast</w:t>
            </w:r>
          </w:p>
          <w:p w14:paraId="55CA4BB8" w14:textId="77777777" w:rsidR="0028691B" w:rsidRDefault="0028691B" w:rsidP="00724DB3">
            <w:pPr>
              <w:pStyle w:val="Heading4"/>
              <w:numPr>
                <w:ilvl w:val="3"/>
                <w:numId w:val="60"/>
              </w:numPr>
              <w:spacing w:before="120" w:after="120"/>
              <w:ind w:left="0"/>
              <w:rPr>
                <w:b/>
                <w:bCs w:val="0"/>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7B08D" w14:textId="77777777" w:rsidR="0028691B" w:rsidRDefault="0028691B" w:rsidP="00724DB3">
            <w:pPr>
              <w:pStyle w:val="Heading4"/>
              <w:numPr>
                <w:ilvl w:val="0"/>
                <w:numId w:val="0"/>
              </w:numPr>
              <w:tabs>
                <w:tab w:val="left" w:pos="720"/>
              </w:tabs>
              <w:spacing w:before="120" w:after="120"/>
              <w:rPr>
                <w:bCs w:val="0"/>
                <w:color w:val="000000"/>
                <w:sz w:val="14"/>
                <w:szCs w:val="14"/>
              </w:rPr>
            </w:pPr>
            <w:r>
              <w:rPr>
                <w:b/>
                <w:bCs w:val="0"/>
                <w:color w:val="000000"/>
                <w:sz w:val="16"/>
                <w:szCs w:val="16"/>
              </w:rPr>
              <w:t>Company</w:t>
            </w:r>
          </w:p>
        </w:tc>
        <w:tc>
          <w:tcPr>
            <w:tcW w:w="3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D01D8" w14:textId="76EF688F" w:rsidR="0028691B" w:rsidRDefault="00B569C8" w:rsidP="00724DB3">
            <w:pPr>
              <w:pStyle w:val="Heading4"/>
              <w:numPr>
                <w:ilvl w:val="0"/>
                <w:numId w:val="0"/>
              </w:numPr>
              <w:tabs>
                <w:tab w:val="left" w:pos="720"/>
              </w:tabs>
              <w:spacing w:before="120" w:after="120"/>
              <w:rPr>
                <w:color w:val="000000"/>
                <w:sz w:val="14"/>
                <w:szCs w:val="14"/>
              </w:rPr>
            </w:pPr>
            <w:r w:rsidRPr="00B569C8">
              <w:rPr>
                <w:color w:val="000000"/>
                <w:sz w:val="16"/>
                <w:szCs w:val="16"/>
              </w:rPr>
              <w:t>The Procter &amp; Gamble Company (P&amp;G)</w:t>
            </w:r>
          </w:p>
        </w:tc>
        <w:tc>
          <w:tcPr>
            <w:tcW w:w="3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1AB32" w14:textId="188A7523" w:rsidR="0028691B" w:rsidRDefault="00B569C8" w:rsidP="00724DB3">
            <w:pPr>
              <w:pStyle w:val="Heading4"/>
              <w:numPr>
                <w:ilvl w:val="0"/>
                <w:numId w:val="0"/>
              </w:numPr>
              <w:tabs>
                <w:tab w:val="left" w:pos="720"/>
              </w:tabs>
              <w:spacing w:before="120" w:after="120"/>
              <w:rPr>
                <w:color w:val="000000"/>
                <w:sz w:val="16"/>
                <w:szCs w:val="16"/>
              </w:rPr>
            </w:pPr>
            <w:r w:rsidRPr="00B569C8">
              <w:rPr>
                <w:color w:val="000000"/>
                <w:sz w:val="16"/>
                <w:szCs w:val="16"/>
              </w:rPr>
              <w:t>Medtronic plc</w:t>
            </w:r>
          </w:p>
        </w:tc>
      </w:tr>
      <w:tr w:rsidR="0028691B" w14:paraId="5F716C03" w14:textId="77777777" w:rsidTr="0028691B">
        <w:trPr>
          <w:trHeight w:val="144"/>
        </w:trPr>
        <w:tc>
          <w:tcPr>
            <w:tcW w:w="0" w:type="auto"/>
            <w:vMerge/>
            <w:tcBorders>
              <w:top w:val="nil"/>
              <w:left w:val="single" w:sz="8" w:space="0" w:color="auto"/>
              <w:bottom w:val="single" w:sz="8" w:space="0" w:color="auto"/>
              <w:right w:val="single" w:sz="8" w:space="0" w:color="auto"/>
            </w:tcBorders>
            <w:vAlign w:val="center"/>
            <w:hideMark/>
          </w:tcPr>
          <w:p w14:paraId="163366F0" w14:textId="77777777" w:rsidR="0028691B" w:rsidRDefault="0028691B" w:rsidP="00724DB3">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0C660" w14:textId="77777777" w:rsidR="0028691B" w:rsidRDefault="0028691B" w:rsidP="00724DB3">
            <w:pPr>
              <w:pStyle w:val="Heading4"/>
              <w:numPr>
                <w:ilvl w:val="0"/>
                <w:numId w:val="0"/>
              </w:numPr>
              <w:tabs>
                <w:tab w:val="left" w:pos="720"/>
              </w:tabs>
              <w:spacing w:before="120" w:after="120"/>
              <w:rPr>
                <w:color w:val="000000"/>
                <w:sz w:val="14"/>
                <w:szCs w:val="14"/>
              </w:rPr>
            </w:pPr>
            <w:r>
              <w:rPr>
                <w:b/>
                <w:bCs w:val="0"/>
                <w:color w:val="000000"/>
                <w:sz w:val="16"/>
                <w:szCs w:val="16"/>
              </w:rPr>
              <w:t>Size of holdings</w:t>
            </w:r>
          </w:p>
        </w:tc>
        <w:tc>
          <w:tcPr>
            <w:tcW w:w="3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72BC4" w14:textId="77777777" w:rsidR="0028691B" w:rsidRDefault="0028691B" w:rsidP="00724DB3">
            <w:pPr>
              <w:pStyle w:val="Heading4"/>
              <w:numPr>
                <w:ilvl w:val="0"/>
                <w:numId w:val="0"/>
              </w:numPr>
              <w:tabs>
                <w:tab w:val="left" w:pos="720"/>
              </w:tabs>
              <w:spacing w:before="120" w:after="120"/>
              <w:rPr>
                <w:color w:val="000000"/>
                <w:sz w:val="14"/>
                <w:szCs w:val="14"/>
              </w:rPr>
            </w:pPr>
            <w:r>
              <w:rPr>
                <w:color w:val="000000"/>
                <w:sz w:val="16"/>
                <w:szCs w:val="16"/>
              </w:rPr>
              <w:t>Unknown</w:t>
            </w:r>
          </w:p>
        </w:tc>
        <w:tc>
          <w:tcPr>
            <w:tcW w:w="3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0FC06" w14:textId="0A33BFE5" w:rsidR="0028691B" w:rsidRDefault="0028691B" w:rsidP="00724DB3">
            <w:pPr>
              <w:pStyle w:val="Heading4"/>
              <w:numPr>
                <w:ilvl w:val="0"/>
                <w:numId w:val="0"/>
              </w:numPr>
              <w:tabs>
                <w:tab w:val="left" w:pos="720"/>
              </w:tabs>
              <w:spacing w:before="120" w:after="120"/>
              <w:rPr>
                <w:color w:val="000000"/>
                <w:sz w:val="16"/>
                <w:szCs w:val="16"/>
              </w:rPr>
            </w:pPr>
            <w:r>
              <w:rPr>
                <w:color w:val="000000"/>
                <w:sz w:val="16"/>
                <w:szCs w:val="16"/>
              </w:rPr>
              <w:t>Unknown</w:t>
            </w:r>
          </w:p>
        </w:tc>
      </w:tr>
      <w:tr w:rsidR="0028691B" w14:paraId="62A98C80" w14:textId="77777777" w:rsidTr="0028691B">
        <w:trPr>
          <w:trHeight w:val="144"/>
        </w:trPr>
        <w:tc>
          <w:tcPr>
            <w:tcW w:w="0" w:type="auto"/>
            <w:vMerge/>
            <w:tcBorders>
              <w:top w:val="nil"/>
              <w:left w:val="single" w:sz="8" w:space="0" w:color="auto"/>
              <w:bottom w:val="single" w:sz="8" w:space="0" w:color="auto"/>
              <w:right w:val="single" w:sz="8" w:space="0" w:color="auto"/>
            </w:tcBorders>
            <w:vAlign w:val="center"/>
            <w:hideMark/>
          </w:tcPr>
          <w:p w14:paraId="1D49966B" w14:textId="77777777" w:rsidR="0028691B" w:rsidRDefault="0028691B" w:rsidP="00724DB3">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C4CDB" w14:textId="77777777" w:rsidR="0028691B" w:rsidRDefault="0028691B" w:rsidP="00724DB3">
            <w:pPr>
              <w:pStyle w:val="Heading4"/>
              <w:numPr>
                <w:ilvl w:val="0"/>
                <w:numId w:val="0"/>
              </w:numPr>
              <w:tabs>
                <w:tab w:val="left" w:pos="720"/>
              </w:tabs>
              <w:spacing w:before="120" w:after="120"/>
              <w:rPr>
                <w:color w:val="000000"/>
                <w:sz w:val="14"/>
                <w:szCs w:val="14"/>
              </w:rPr>
            </w:pPr>
            <w:r>
              <w:rPr>
                <w:b/>
                <w:bCs w:val="0"/>
                <w:color w:val="000000"/>
                <w:sz w:val="16"/>
                <w:szCs w:val="16"/>
              </w:rPr>
              <w:t>Resolution</w:t>
            </w:r>
          </w:p>
        </w:tc>
        <w:tc>
          <w:tcPr>
            <w:tcW w:w="3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D3A0F" w14:textId="647E5708" w:rsidR="0028691B" w:rsidRDefault="00B569C8" w:rsidP="00724DB3">
            <w:pPr>
              <w:pStyle w:val="Heading4"/>
              <w:numPr>
                <w:ilvl w:val="0"/>
                <w:numId w:val="0"/>
              </w:numPr>
              <w:tabs>
                <w:tab w:val="left" w:pos="720"/>
              </w:tabs>
              <w:spacing w:before="120" w:after="120"/>
              <w:rPr>
                <w:color w:val="000000"/>
                <w:sz w:val="14"/>
                <w:szCs w:val="14"/>
              </w:rPr>
            </w:pPr>
            <w:r w:rsidRPr="00B569C8">
              <w:rPr>
                <w:color w:val="000000"/>
                <w:sz w:val="16"/>
                <w:szCs w:val="16"/>
              </w:rPr>
              <w:t>Report on effort to eliminate deforestation.</w:t>
            </w:r>
          </w:p>
        </w:tc>
        <w:tc>
          <w:tcPr>
            <w:tcW w:w="3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C496C" w14:textId="78798C17" w:rsidR="0028691B" w:rsidRDefault="00B569C8" w:rsidP="00724DB3">
            <w:pPr>
              <w:pStyle w:val="Heading4"/>
              <w:numPr>
                <w:ilvl w:val="0"/>
                <w:numId w:val="0"/>
              </w:numPr>
              <w:tabs>
                <w:tab w:val="left" w:pos="720"/>
              </w:tabs>
              <w:spacing w:before="120" w:after="120"/>
              <w:rPr>
                <w:color w:val="000000"/>
                <w:sz w:val="16"/>
                <w:szCs w:val="16"/>
              </w:rPr>
            </w:pPr>
            <w:r w:rsidRPr="00B569C8">
              <w:rPr>
                <w:color w:val="000000"/>
                <w:sz w:val="16"/>
                <w:szCs w:val="16"/>
              </w:rPr>
              <w:t>Advisory Vote to Ratify Named Executive Officers' Compensation.</w:t>
            </w:r>
          </w:p>
        </w:tc>
      </w:tr>
      <w:tr w:rsidR="0028691B" w14:paraId="6D0254AC" w14:textId="77777777" w:rsidTr="0028691B">
        <w:trPr>
          <w:trHeight w:val="144"/>
        </w:trPr>
        <w:tc>
          <w:tcPr>
            <w:tcW w:w="0" w:type="auto"/>
            <w:vMerge/>
            <w:tcBorders>
              <w:top w:val="nil"/>
              <w:left w:val="single" w:sz="8" w:space="0" w:color="auto"/>
              <w:bottom w:val="single" w:sz="8" w:space="0" w:color="auto"/>
              <w:right w:val="single" w:sz="8" w:space="0" w:color="auto"/>
            </w:tcBorders>
            <w:vAlign w:val="center"/>
            <w:hideMark/>
          </w:tcPr>
          <w:p w14:paraId="1D7FE34B" w14:textId="77777777" w:rsidR="0028691B" w:rsidRDefault="0028691B" w:rsidP="00724DB3">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F7116" w14:textId="77777777" w:rsidR="0028691B" w:rsidRDefault="0028691B" w:rsidP="00724DB3">
            <w:pPr>
              <w:pStyle w:val="Heading4"/>
              <w:numPr>
                <w:ilvl w:val="0"/>
                <w:numId w:val="0"/>
              </w:numPr>
              <w:tabs>
                <w:tab w:val="left" w:pos="720"/>
              </w:tabs>
              <w:spacing w:before="120" w:after="120"/>
              <w:rPr>
                <w:color w:val="000000"/>
                <w:sz w:val="14"/>
                <w:szCs w:val="14"/>
              </w:rPr>
            </w:pPr>
            <w:r>
              <w:rPr>
                <w:b/>
                <w:bCs w:val="0"/>
                <w:color w:val="000000"/>
                <w:sz w:val="16"/>
                <w:szCs w:val="16"/>
              </w:rPr>
              <w:t>Decision /Vote</w:t>
            </w:r>
          </w:p>
        </w:tc>
        <w:tc>
          <w:tcPr>
            <w:tcW w:w="3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245B6" w14:textId="7E226ED7" w:rsidR="0028691B" w:rsidRDefault="00B01EDC" w:rsidP="00724DB3">
            <w:pPr>
              <w:pStyle w:val="Heading4"/>
              <w:numPr>
                <w:ilvl w:val="0"/>
                <w:numId w:val="0"/>
              </w:numPr>
              <w:tabs>
                <w:tab w:val="left" w:pos="720"/>
              </w:tabs>
              <w:spacing w:before="120" w:after="120"/>
              <w:rPr>
                <w:color w:val="000000"/>
                <w:sz w:val="14"/>
                <w:szCs w:val="14"/>
              </w:rPr>
            </w:pPr>
            <w:r>
              <w:rPr>
                <w:color w:val="000000"/>
                <w:sz w:val="16"/>
                <w:szCs w:val="16"/>
              </w:rPr>
              <w:t>For</w:t>
            </w:r>
          </w:p>
        </w:tc>
        <w:tc>
          <w:tcPr>
            <w:tcW w:w="3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0F3B6" w14:textId="0260C75B" w:rsidR="0028691B" w:rsidRDefault="00B01EDC" w:rsidP="00724DB3">
            <w:pPr>
              <w:pStyle w:val="Heading4"/>
              <w:numPr>
                <w:ilvl w:val="0"/>
                <w:numId w:val="0"/>
              </w:numPr>
              <w:tabs>
                <w:tab w:val="left" w:pos="720"/>
              </w:tabs>
              <w:spacing w:before="120" w:after="120"/>
              <w:rPr>
                <w:color w:val="000000"/>
                <w:sz w:val="16"/>
                <w:szCs w:val="16"/>
              </w:rPr>
            </w:pPr>
            <w:r>
              <w:rPr>
                <w:color w:val="000000"/>
                <w:sz w:val="16"/>
                <w:szCs w:val="16"/>
              </w:rPr>
              <w:t>Against</w:t>
            </w:r>
          </w:p>
        </w:tc>
      </w:tr>
      <w:tr w:rsidR="0028691B" w14:paraId="3B79AF39" w14:textId="77777777" w:rsidTr="0028691B">
        <w:trPr>
          <w:trHeight w:val="144"/>
        </w:trPr>
        <w:tc>
          <w:tcPr>
            <w:tcW w:w="0" w:type="auto"/>
            <w:vMerge/>
            <w:tcBorders>
              <w:top w:val="nil"/>
              <w:left w:val="single" w:sz="8" w:space="0" w:color="auto"/>
              <w:bottom w:val="single" w:sz="8" w:space="0" w:color="auto"/>
              <w:right w:val="single" w:sz="8" w:space="0" w:color="auto"/>
            </w:tcBorders>
            <w:vAlign w:val="center"/>
            <w:hideMark/>
          </w:tcPr>
          <w:p w14:paraId="0D77363C" w14:textId="77777777" w:rsidR="0028691B" w:rsidRDefault="0028691B" w:rsidP="00724DB3">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85711" w14:textId="77777777" w:rsidR="0028691B" w:rsidRDefault="0028691B" w:rsidP="00724DB3">
            <w:pPr>
              <w:pStyle w:val="Heading4"/>
              <w:numPr>
                <w:ilvl w:val="0"/>
                <w:numId w:val="0"/>
              </w:numPr>
              <w:tabs>
                <w:tab w:val="left" w:pos="720"/>
              </w:tabs>
              <w:spacing w:before="120" w:after="120"/>
              <w:rPr>
                <w:color w:val="000000"/>
                <w:sz w:val="14"/>
                <w:szCs w:val="14"/>
              </w:rPr>
            </w:pPr>
            <w:r>
              <w:rPr>
                <w:b/>
                <w:bCs w:val="0"/>
                <w:color w:val="000000"/>
                <w:sz w:val="16"/>
                <w:szCs w:val="16"/>
              </w:rPr>
              <w:t>Rationale for decision</w:t>
            </w:r>
          </w:p>
        </w:tc>
        <w:tc>
          <w:tcPr>
            <w:tcW w:w="3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0F4A8" w14:textId="7A8D3E87" w:rsidR="0028691B" w:rsidRDefault="00845139" w:rsidP="00724DB3">
            <w:pPr>
              <w:pStyle w:val="Heading4"/>
              <w:numPr>
                <w:ilvl w:val="0"/>
                <w:numId w:val="0"/>
              </w:numPr>
              <w:tabs>
                <w:tab w:val="left" w:pos="720"/>
              </w:tabs>
              <w:spacing w:before="120" w:after="120"/>
              <w:rPr>
                <w:color w:val="000000"/>
                <w:sz w:val="14"/>
                <w:szCs w:val="14"/>
              </w:rPr>
            </w:pPr>
            <w:r>
              <w:rPr>
                <w:color w:val="000000"/>
                <w:sz w:val="16"/>
                <w:szCs w:val="16"/>
              </w:rPr>
              <w:t>A</w:t>
            </w:r>
            <w:r w:rsidRPr="00845139">
              <w:rPr>
                <w:color w:val="000000"/>
                <w:sz w:val="16"/>
                <w:szCs w:val="16"/>
              </w:rPr>
              <w:t xml:space="preserve"> key priority issue for LGIM is to ensure that companies we invest our clients    assets in are not contributing to deforestation. LGIM has asked P&amp;G to respond to the CDP Forests Disclosure and continue to engage on the topic and push other companies to ensure more of their pulp and wood is from FSC certified sources.</w:t>
            </w:r>
          </w:p>
        </w:tc>
        <w:tc>
          <w:tcPr>
            <w:tcW w:w="3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80D0E" w14:textId="57078694" w:rsidR="0028691B" w:rsidRDefault="00717310" w:rsidP="00724DB3">
            <w:pPr>
              <w:pStyle w:val="Heading4"/>
              <w:numPr>
                <w:ilvl w:val="0"/>
                <w:numId w:val="0"/>
              </w:numPr>
              <w:tabs>
                <w:tab w:val="left" w:pos="720"/>
              </w:tabs>
              <w:spacing w:before="120" w:after="120"/>
              <w:rPr>
                <w:color w:val="000000"/>
                <w:sz w:val="16"/>
                <w:szCs w:val="16"/>
              </w:rPr>
            </w:pPr>
            <w:r w:rsidRPr="00717310">
              <w:rPr>
                <w:color w:val="000000"/>
                <w:sz w:val="16"/>
                <w:szCs w:val="16"/>
              </w:rPr>
              <w:t xml:space="preserve">Following the end of the financial year, executive directors were granted a special, one-off award of stock options to compensate for no bonus being paid out during the financial year. LGIM voted against the one-off payment as we are not supportive of one-off awards in general and </w:t>
            </w:r>
            <w:proofErr w:type="gramStart"/>
            <w:r w:rsidRPr="00717310">
              <w:rPr>
                <w:color w:val="000000"/>
                <w:sz w:val="16"/>
                <w:szCs w:val="16"/>
              </w:rPr>
              <w:t>in particular when</w:t>
            </w:r>
            <w:proofErr w:type="gramEnd"/>
            <w:r w:rsidRPr="00717310">
              <w:rPr>
                <w:color w:val="000000"/>
                <w:sz w:val="16"/>
                <w:szCs w:val="16"/>
              </w:rPr>
              <w:t xml:space="preserve"> these are awarded to compensate for a payment for which the performance criterion/criteria were not met.</w:t>
            </w:r>
          </w:p>
        </w:tc>
      </w:tr>
      <w:tr w:rsidR="0028691B" w14:paraId="2C1A4922" w14:textId="77777777" w:rsidTr="0028691B">
        <w:trPr>
          <w:trHeight w:val="144"/>
        </w:trPr>
        <w:tc>
          <w:tcPr>
            <w:tcW w:w="0" w:type="auto"/>
            <w:vMerge/>
            <w:tcBorders>
              <w:top w:val="nil"/>
              <w:left w:val="single" w:sz="8" w:space="0" w:color="auto"/>
              <w:bottom w:val="single" w:sz="8" w:space="0" w:color="auto"/>
              <w:right w:val="single" w:sz="8" w:space="0" w:color="auto"/>
            </w:tcBorders>
            <w:vAlign w:val="center"/>
            <w:hideMark/>
          </w:tcPr>
          <w:p w14:paraId="4643EF14" w14:textId="77777777" w:rsidR="0028691B" w:rsidRDefault="0028691B" w:rsidP="00724DB3">
            <w:pPr>
              <w:rPr>
                <w:rFonts w:cs="Arial"/>
                <w:b/>
                <w:bCs/>
                <w:color w:val="7030A0"/>
                <w:sz w:val="14"/>
                <w:szCs w:val="14"/>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7B625" w14:textId="77777777" w:rsidR="0028691B" w:rsidRDefault="0028691B" w:rsidP="00724DB3">
            <w:pPr>
              <w:pStyle w:val="Heading4"/>
              <w:numPr>
                <w:ilvl w:val="0"/>
                <w:numId w:val="0"/>
              </w:numPr>
              <w:tabs>
                <w:tab w:val="left" w:pos="720"/>
              </w:tabs>
              <w:spacing w:before="120" w:after="120"/>
              <w:rPr>
                <w:color w:val="000000"/>
                <w:sz w:val="14"/>
                <w:szCs w:val="14"/>
              </w:rPr>
            </w:pPr>
            <w:r>
              <w:rPr>
                <w:b/>
                <w:bCs w:val="0"/>
                <w:color w:val="000000"/>
                <w:sz w:val="16"/>
                <w:szCs w:val="16"/>
              </w:rPr>
              <w:t>Rationale for classifying as significant</w:t>
            </w:r>
          </w:p>
        </w:tc>
        <w:tc>
          <w:tcPr>
            <w:tcW w:w="3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38826" w14:textId="5FFE3B46" w:rsidR="0028691B" w:rsidRDefault="002227D7" w:rsidP="00724DB3">
            <w:pPr>
              <w:pStyle w:val="Heading4"/>
              <w:numPr>
                <w:ilvl w:val="0"/>
                <w:numId w:val="0"/>
              </w:numPr>
              <w:tabs>
                <w:tab w:val="left" w:pos="720"/>
              </w:tabs>
              <w:spacing w:before="120" w:after="120"/>
              <w:rPr>
                <w:color w:val="000000"/>
                <w:sz w:val="14"/>
                <w:szCs w:val="14"/>
              </w:rPr>
            </w:pPr>
            <w:r>
              <w:rPr>
                <w:color w:val="000000"/>
                <w:sz w:val="16"/>
                <w:szCs w:val="16"/>
              </w:rPr>
              <w:t>L</w:t>
            </w:r>
            <w:r w:rsidRPr="002227D7">
              <w:rPr>
                <w:color w:val="000000"/>
                <w:sz w:val="16"/>
                <w:szCs w:val="16"/>
              </w:rPr>
              <w:t>inked to LGIM's five-year strategy to tackle climate change and attracted a great deal of client interest.</w:t>
            </w:r>
          </w:p>
        </w:tc>
        <w:tc>
          <w:tcPr>
            <w:tcW w:w="3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BAB60" w14:textId="2F49FD26" w:rsidR="0028691B" w:rsidRDefault="00717310" w:rsidP="00724DB3">
            <w:pPr>
              <w:pStyle w:val="Heading4"/>
              <w:numPr>
                <w:ilvl w:val="0"/>
                <w:numId w:val="0"/>
              </w:numPr>
              <w:tabs>
                <w:tab w:val="left" w:pos="720"/>
              </w:tabs>
              <w:spacing w:before="120" w:after="120"/>
              <w:rPr>
                <w:color w:val="5B9BD5"/>
                <w:sz w:val="16"/>
                <w:szCs w:val="16"/>
              </w:rPr>
            </w:pPr>
            <w:r>
              <w:rPr>
                <w:sz w:val="16"/>
                <w:szCs w:val="16"/>
              </w:rPr>
              <w:t>LGIM</w:t>
            </w:r>
            <w:r w:rsidRPr="00717310">
              <w:rPr>
                <w:sz w:val="16"/>
                <w:szCs w:val="16"/>
              </w:rPr>
              <w:t xml:space="preserve"> believe it is contrary to best practice in general and our pay principles </w:t>
            </w:r>
            <w:proofErr w:type="gramStart"/>
            <w:r w:rsidRPr="00717310">
              <w:rPr>
                <w:sz w:val="16"/>
                <w:szCs w:val="16"/>
              </w:rPr>
              <w:t>in particular to</w:t>
            </w:r>
            <w:proofErr w:type="gramEnd"/>
            <w:r w:rsidRPr="00717310">
              <w:rPr>
                <w:sz w:val="16"/>
                <w:szCs w:val="16"/>
              </w:rPr>
              <w:t xml:space="preserve"> award one-off awards, especially if they are to compensate for a forgone payment.</w:t>
            </w:r>
          </w:p>
        </w:tc>
      </w:tr>
    </w:tbl>
    <w:p w14:paraId="07746D3B" w14:textId="77777777" w:rsidR="004D4789" w:rsidRDefault="004D4789" w:rsidP="004D4789">
      <w:pPr>
        <w:rPr>
          <w:rFonts w:ascii="Calibri" w:eastAsiaTheme="minorHAnsi" w:hAnsi="Calibri" w:cs="Calibri"/>
          <w:sz w:val="22"/>
          <w:szCs w:val="22"/>
        </w:rPr>
      </w:pPr>
    </w:p>
    <w:p w14:paraId="3B8E1DBC" w14:textId="55CCAA4D" w:rsidR="004D4789" w:rsidRDefault="004D4789" w:rsidP="00EC1AC0">
      <w:pPr>
        <w:rPr>
          <w:rFonts w:ascii="Calibri" w:eastAsiaTheme="minorHAnsi" w:hAnsi="Calibri" w:cs="Calibri"/>
          <w:sz w:val="22"/>
          <w:szCs w:val="22"/>
        </w:rPr>
      </w:pPr>
    </w:p>
    <w:p w14:paraId="6B37FAA9" w14:textId="2991DE28" w:rsidR="001759C2" w:rsidRDefault="001759C2" w:rsidP="001759C2">
      <w:pPr>
        <w:pStyle w:val="ListBullet"/>
        <w:numPr>
          <w:ilvl w:val="0"/>
          <w:numId w:val="0"/>
        </w:numPr>
        <w:tabs>
          <w:tab w:val="left" w:pos="720"/>
        </w:tabs>
        <w:rPr>
          <w:rFonts w:ascii="Arial" w:hAnsi="Arial" w:cs="Arial"/>
          <w:b/>
          <w:bCs/>
          <w:color w:val="000000"/>
          <w:sz w:val="16"/>
          <w:szCs w:val="16"/>
        </w:rPr>
      </w:pPr>
      <w:r w:rsidRPr="001759C2">
        <w:rPr>
          <w:rFonts w:ascii="Arial" w:hAnsi="Arial" w:cs="Arial"/>
          <w:b/>
          <w:bCs/>
          <w:color w:val="000000"/>
          <w:sz w:val="16"/>
          <w:szCs w:val="16"/>
        </w:rPr>
        <w:t>LGIM Heitman Global Prime Property Fund</w:t>
      </w:r>
    </w:p>
    <w:tbl>
      <w:tblPr>
        <w:tblW w:w="9190" w:type="dxa"/>
        <w:tblInd w:w="-5" w:type="dxa"/>
        <w:tblCellMar>
          <w:left w:w="0" w:type="dxa"/>
          <w:right w:w="0" w:type="dxa"/>
        </w:tblCellMar>
        <w:tblLook w:val="04A0" w:firstRow="1" w:lastRow="0" w:firstColumn="1" w:lastColumn="0" w:noHBand="0" w:noVBand="1"/>
      </w:tblPr>
      <w:tblGrid>
        <w:gridCol w:w="1228"/>
        <w:gridCol w:w="7962"/>
      </w:tblGrid>
      <w:tr w:rsidR="001759C2" w14:paraId="3F3D7787" w14:textId="77777777" w:rsidTr="00724DB3">
        <w:trPr>
          <w:trHeight w:val="164"/>
        </w:trPr>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9809B9" w14:textId="77777777" w:rsidR="001759C2" w:rsidRDefault="001759C2" w:rsidP="00724DB3">
            <w:pPr>
              <w:pStyle w:val="Heading4"/>
              <w:numPr>
                <w:ilvl w:val="0"/>
                <w:numId w:val="0"/>
              </w:numPr>
              <w:tabs>
                <w:tab w:val="left" w:pos="720"/>
              </w:tabs>
              <w:spacing w:before="120" w:after="120"/>
              <w:jc w:val="center"/>
              <w:rPr>
                <w:rFonts w:cs="Arial"/>
                <w:b/>
                <w:bCs w:val="0"/>
                <w:color w:val="7030A0"/>
                <w:sz w:val="16"/>
                <w:szCs w:val="16"/>
              </w:rPr>
            </w:pPr>
            <w:r>
              <w:rPr>
                <w:b/>
                <w:bCs w:val="0"/>
                <w:color w:val="7030A0"/>
                <w:sz w:val="16"/>
                <w:szCs w:val="16"/>
              </w:rPr>
              <w:t>Voting activity</w:t>
            </w:r>
          </w:p>
        </w:tc>
        <w:tc>
          <w:tcPr>
            <w:tcW w:w="7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9E071" w14:textId="01DFA0C9" w:rsidR="001759C2" w:rsidRDefault="001759C2" w:rsidP="00724DB3">
            <w:pPr>
              <w:pStyle w:val="Heading4"/>
              <w:numPr>
                <w:ilvl w:val="0"/>
                <w:numId w:val="0"/>
              </w:numPr>
              <w:tabs>
                <w:tab w:val="left" w:pos="720"/>
              </w:tabs>
              <w:spacing w:before="120" w:after="120"/>
              <w:ind w:left="680" w:hanging="680"/>
              <w:rPr>
                <w:bCs w:val="0"/>
                <w:sz w:val="16"/>
                <w:szCs w:val="16"/>
              </w:rPr>
            </w:pPr>
            <w:r>
              <w:rPr>
                <w:sz w:val="16"/>
                <w:szCs w:val="16"/>
              </w:rPr>
              <w:t xml:space="preserve">Number of votes eligible to cast: </w:t>
            </w:r>
            <w:r w:rsidR="002A5B12">
              <w:rPr>
                <w:sz w:val="16"/>
                <w:szCs w:val="16"/>
              </w:rPr>
              <w:t>1</w:t>
            </w:r>
            <w:r w:rsidR="00EC1B89">
              <w:rPr>
                <w:sz w:val="16"/>
                <w:szCs w:val="16"/>
              </w:rPr>
              <w:t>23</w:t>
            </w:r>
          </w:p>
          <w:p w14:paraId="71E4078B" w14:textId="316A356B" w:rsidR="001759C2" w:rsidRDefault="001759C2" w:rsidP="00724DB3">
            <w:pPr>
              <w:pStyle w:val="Heading4"/>
              <w:numPr>
                <w:ilvl w:val="0"/>
                <w:numId w:val="0"/>
              </w:numPr>
              <w:tabs>
                <w:tab w:val="left" w:pos="720"/>
              </w:tabs>
              <w:spacing w:before="120" w:after="120"/>
              <w:ind w:left="680" w:hanging="680"/>
              <w:rPr>
                <w:sz w:val="16"/>
                <w:szCs w:val="16"/>
              </w:rPr>
            </w:pPr>
            <w:r>
              <w:rPr>
                <w:sz w:val="16"/>
                <w:szCs w:val="16"/>
              </w:rPr>
              <w:t xml:space="preserve">Percentage of eligible votes cast: </w:t>
            </w:r>
            <w:r w:rsidR="0021606E">
              <w:rPr>
                <w:sz w:val="16"/>
                <w:szCs w:val="16"/>
              </w:rPr>
              <w:t>100.0</w:t>
            </w:r>
            <w:r>
              <w:rPr>
                <w:sz w:val="16"/>
                <w:szCs w:val="16"/>
              </w:rPr>
              <w:t>%</w:t>
            </w:r>
          </w:p>
          <w:p w14:paraId="54025E0D" w14:textId="64F9EA24" w:rsidR="001759C2" w:rsidRDefault="001759C2" w:rsidP="00724DB3">
            <w:pPr>
              <w:pStyle w:val="Heading4"/>
              <w:numPr>
                <w:ilvl w:val="0"/>
                <w:numId w:val="0"/>
              </w:numPr>
              <w:tabs>
                <w:tab w:val="left" w:pos="720"/>
              </w:tabs>
              <w:spacing w:before="120" w:after="120"/>
              <w:ind w:left="680" w:hanging="680"/>
              <w:rPr>
                <w:sz w:val="16"/>
                <w:szCs w:val="16"/>
              </w:rPr>
            </w:pPr>
            <w:r>
              <w:rPr>
                <w:sz w:val="16"/>
                <w:szCs w:val="16"/>
              </w:rPr>
              <w:t>Percentage of votes with management: 8</w:t>
            </w:r>
            <w:r w:rsidR="00EF2EA1">
              <w:rPr>
                <w:sz w:val="16"/>
                <w:szCs w:val="16"/>
              </w:rPr>
              <w:t>5.2</w:t>
            </w:r>
            <w:r>
              <w:rPr>
                <w:sz w:val="16"/>
                <w:szCs w:val="16"/>
              </w:rPr>
              <w:t>%</w:t>
            </w:r>
          </w:p>
          <w:p w14:paraId="79DEEA9E" w14:textId="187DB773" w:rsidR="001759C2" w:rsidRDefault="001759C2" w:rsidP="00724DB3">
            <w:pPr>
              <w:pStyle w:val="Heading4"/>
              <w:numPr>
                <w:ilvl w:val="0"/>
                <w:numId w:val="0"/>
              </w:numPr>
              <w:tabs>
                <w:tab w:val="left" w:pos="720"/>
              </w:tabs>
              <w:spacing w:before="120" w:after="120"/>
              <w:ind w:left="680" w:hanging="680"/>
              <w:rPr>
                <w:sz w:val="16"/>
                <w:szCs w:val="16"/>
              </w:rPr>
            </w:pPr>
            <w:r>
              <w:rPr>
                <w:sz w:val="16"/>
                <w:szCs w:val="16"/>
              </w:rPr>
              <w:t>Percentage of votes against management: 1</w:t>
            </w:r>
            <w:r w:rsidR="00EF2EA1">
              <w:rPr>
                <w:sz w:val="16"/>
                <w:szCs w:val="16"/>
              </w:rPr>
              <w:t>4.</w:t>
            </w:r>
            <w:r w:rsidR="00232005">
              <w:rPr>
                <w:sz w:val="16"/>
                <w:szCs w:val="16"/>
              </w:rPr>
              <w:t>7</w:t>
            </w:r>
            <w:r>
              <w:rPr>
                <w:sz w:val="16"/>
                <w:szCs w:val="16"/>
              </w:rPr>
              <w:t>%</w:t>
            </w:r>
          </w:p>
          <w:p w14:paraId="77DB9DB1" w14:textId="79CFF653" w:rsidR="001759C2" w:rsidRDefault="001759C2" w:rsidP="00724DB3">
            <w:pPr>
              <w:pStyle w:val="Heading4"/>
              <w:numPr>
                <w:ilvl w:val="0"/>
                <w:numId w:val="0"/>
              </w:numPr>
              <w:tabs>
                <w:tab w:val="left" w:pos="720"/>
              </w:tabs>
              <w:spacing w:before="120" w:after="120"/>
              <w:ind w:left="680" w:hanging="680"/>
              <w:rPr>
                <w:b/>
                <w:color w:val="5B9BD5"/>
                <w:sz w:val="16"/>
                <w:szCs w:val="16"/>
              </w:rPr>
            </w:pPr>
            <w:r>
              <w:rPr>
                <w:sz w:val="16"/>
                <w:szCs w:val="16"/>
              </w:rPr>
              <w:t>Percentage of votes abstained from: 0.</w:t>
            </w:r>
            <w:r w:rsidR="00232005">
              <w:rPr>
                <w:sz w:val="16"/>
                <w:szCs w:val="16"/>
              </w:rPr>
              <w:t>2</w:t>
            </w:r>
            <w:r>
              <w:rPr>
                <w:sz w:val="16"/>
                <w:szCs w:val="16"/>
              </w:rPr>
              <w:t>%</w:t>
            </w:r>
          </w:p>
        </w:tc>
      </w:tr>
      <w:tr w:rsidR="00B86E78" w14:paraId="1A425AE7" w14:textId="77777777" w:rsidTr="00C42E5B">
        <w:trPr>
          <w:trHeight w:val="854"/>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F42FF" w14:textId="77777777" w:rsidR="00B86E78" w:rsidRDefault="00B86E78" w:rsidP="00724DB3">
            <w:pPr>
              <w:pStyle w:val="Heading4"/>
              <w:numPr>
                <w:ilvl w:val="0"/>
                <w:numId w:val="0"/>
              </w:numPr>
              <w:tabs>
                <w:tab w:val="left" w:pos="720"/>
              </w:tabs>
              <w:spacing w:before="120" w:after="120"/>
              <w:jc w:val="center"/>
              <w:rPr>
                <w:b/>
                <w:bCs w:val="0"/>
                <w:color w:val="7030A0"/>
                <w:sz w:val="16"/>
                <w:szCs w:val="16"/>
              </w:rPr>
            </w:pPr>
            <w:r>
              <w:rPr>
                <w:b/>
                <w:bCs w:val="0"/>
                <w:color w:val="7030A0"/>
                <w:sz w:val="16"/>
                <w:szCs w:val="16"/>
              </w:rPr>
              <w:t>Most significant votes cast</w:t>
            </w:r>
          </w:p>
          <w:p w14:paraId="2E59F905" w14:textId="77777777" w:rsidR="00B86E78" w:rsidRDefault="00B86E78" w:rsidP="00724DB3">
            <w:pPr>
              <w:pStyle w:val="Heading4"/>
              <w:numPr>
                <w:ilvl w:val="3"/>
                <w:numId w:val="60"/>
              </w:numPr>
              <w:spacing w:before="120" w:after="120"/>
              <w:ind w:left="0"/>
              <w:rPr>
                <w:b/>
                <w:bCs w:val="0"/>
                <w:color w:val="7030A0"/>
                <w:sz w:val="14"/>
                <w:szCs w:val="14"/>
              </w:rPr>
            </w:pPr>
          </w:p>
        </w:tc>
        <w:tc>
          <w:tcPr>
            <w:tcW w:w="7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9ED53" w14:textId="0E16A480" w:rsidR="00B86E78" w:rsidRDefault="00C42E5B" w:rsidP="00724DB3">
            <w:pPr>
              <w:pStyle w:val="Heading4"/>
              <w:numPr>
                <w:ilvl w:val="0"/>
                <w:numId w:val="0"/>
              </w:numPr>
              <w:tabs>
                <w:tab w:val="left" w:pos="720"/>
              </w:tabs>
              <w:spacing w:before="120" w:after="120"/>
              <w:rPr>
                <w:color w:val="000000"/>
                <w:sz w:val="16"/>
                <w:szCs w:val="16"/>
              </w:rPr>
            </w:pPr>
            <w:r w:rsidRPr="00C42E5B">
              <w:rPr>
                <w:color w:val="000000"/>
                <w:sz w:val="16"/>
                <w:szCs w:val="16"/>
              </w:rPr>
              <w:t>There were no significant votes made in relation to the securities held by this fund during the reporting period.</w:t>
            </w:r>
          </w:p>
        </w:tc>
      </w:tr>
    </w:tbl>
    <w:p w14:paraId="77858300" w14:textId="77777777" w:rsidR="001759C2" w:rsidRDefault="001759C2" w:rsidP="001759C2">
      <w:pPr>
        <w:rPr>
          <w:rFonts w:ascii="Calibri" w:eastAsiaTheme="minorHAnsi" w:hAnsi="Calibri" w:cs="Calibri"/>
          <w:sz w:val="22"/>
          <w:szCs w:val="22"/>
        </w:rPr>
      </w:pPr>
    </w:p>
    <w:p w14:paraId="27AE2750" w14:textId="4481612A" w:rsidR="00B01EDC" w:rsidRDefault="00B01EDC" w:rsidP="00EC1AC0">
      <w:pPr>
        <w:rPr>
          <w:rFonts w:ascii="Calibri" w:eastAsiaTheme="minorHAnsi" w:hAnsi="Calibri" w:cs="Calibri"/>
          <w:sz w:val="22"/>
          <w:szCs w:val="22"/>
        </w:rPr>
      </w:pPr>
    </w:p>
    <w:p w14:paraId="35072949" w14:textId="069D262B" w:rsidR="00C42E5B" w:rsidRDefault="00C42E5B" w:rsidP="00C42E5B">
      <w:pPr>
        <w:pStyle w:val="ListBullet"/>
        <w:numPr>
          <w:ilvl w:val="0"/>
          <w:numId w:val="0"/>
        </w:numPr>
        <w:tabs>
          <w:tab w:val="left" w:pos="720"/>
        </w:tabs>
        <w:rPr>
          <w:rFonts w:ascii="Arial" w:hAnsi="Arial" w:cs="Arial"/>
          <w:b/>
          <w:bCs/>
          <w:color w:val="000000"/>
          <w:sz w:val="16"/>
          <w:szCs w:val="16"/>
        </w:rPr>
      </w:pPr>
      <w:r w:rsidRPr="00C42E5B">
        <w:rPr>
          <w:rFonts w:ascii="Arial" w:hAnsi="Arial" w:cs="Arial"/>
          <w:b/>
          <w:bCs/>
          <w:color w:val="000000"/>
          <w:sz w:val="16"/>
          <w:szCs w:val="16"/>
        </w:rPr>
        <w:t>LGIM Infrastructure Equity MFG Fund</w:t>
      </w:r>
    </w:p>
    <w:tbl>
      <w:tblPr>
        <w:tblW w:w="9190" w:type="dxa"/>
        <w:tblInd w:w="-5" w:type="dxa"/>
        <w:tblCellMar>
          <w:left w:w="0" w:type="dxa"/>
          <w:right w:w="0" w:type="dxa"/>
        </w:tblCellMar>
        <w:tblLook w:val="04A0" w:firstRow="1" w:lastRow="0" w:firstColumn="1" w:lastColumn="0" w:noHBand="0" w:noVBand="1"/>
      </w:tblPr>
      <w:tblGrid>
        <w:gridCol w:w="1228"/>
        <w:gridCol w:w="7962"/>
      </w:tblGrid>
      <w:tr w:rsidR="00C42E5B" w14:paraId="2172C438" w14:textId="77777777" w:rsidTr="00724DB3">
        <w:trPr>
          <w:trHeight w:val="164"/>
        </w:trPr>
        <w:tc>
          <w:tcPr>
            <w:tcW w:w="1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7A9BD" w14:textId="77777777" w:rsidR="00C42E5B" w:rsidRDefault="00C42E5B" w:rsidP="00724DB3">
            <w:pPr>
              <w:pStyle w:val="Heading4"/>
              <w:numPr>
                <w:ilvl w:val="0"/>
                <w:numId w:val="0"/>
              </w:numPr>
              <w:tabs>
                <w:tab w:val="left" w:pos="720"/>
              </w:tabs>
              <w:spacing w:before="120" w:after="120"/>
              <w:jc w:val="center"/>
              <w:rPr>
                <w:rFonts w:cs="Arial"/>
                <w:b/>
                <w:bCs w:val="0"/>
                <w:color w:val="7030A0"/>
                <w:sz w:val="16"/>
                <w:szCs w:val="16"/>
              </w:rPr>
            </w:pPr>
            <w:r>
              <w:rPr>
                <w:b/>
                <w:bCs w:val="0"/>
                <w:color w:val="7030A0"/>
                <w:sz w:val="16"/>
                <w:szCs w:val="16"/>
              </w:rPr>
              <w:t>Voting activity</w:t>
            </w:r>
          </w:p>
        </w:tc>
        <w:tc>
          <w:tcPr>
            <w:tcW w:w="7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797CA" w14:textId="346F59BF" w:rsidR="00C42E5B" w:rsidRDefault="00C42E5B" w:rsidP="00724DB3">
            <w:pPr>
              <w:pStyle w:val="Heading4"/>
              <w:numPr>
                <w:ilvl w:val="0"/>
                <w:numId w:val="0"/>
              </w:numPr>
              <w:tabs>
                <w:tab w:val="left" w:pos="720"/>
              </w:tabs>
              <w:spacing w:before="120" w:after="120"/>
              <w:ind w:left="680" w:hanging="680"/>
              <w:rPr>
                <w:bCs w:val="0"/>
                <w:sz w:val="16"/>
                <w:szCs w:val="16"/>
              </w:rPr>
            </w:pPr>
            <w:r>
              <w:rPr>
                <w:sz w:val="16"/>
                <w:szCs w:val="16"/>
              </w:rPr>
              <w:t xml:space="preserve">Number of votes eligible to cast: </w:t>
            </w:r>
            <w:r w:rsidR="006D3CB6">
              <w:rPr>
                <w:sz w:val="16"/>
                <w:szCs w:val="16"/>
              </w:rPr>
              <w:t>96</w:t>
            </w:r>
          </w:p>
          <w:p w14:paraId="10172263" w14:textId="5E77FF8B" w:rsidR="00C42E5B" w:rsidRDefault="00C42E5B" w:rsidP="00724DB3">
            <w:pPr>
              <w:pStyle w:val="Heading4"/>
              <w:numPr>
                <w:ilvl w:val="0"/>
                <w:numId w:val="0"/>
              </w:numPr>
              <w:tabs>
                <w:tab w:val="left" w:pos="720"/>
              </w:tabs>
              <w:spacing w:before="120" w:after="120"/>
              <w:ind w:left="680" w:hanging="680"/>
              <w:rPr>
                <w:sz w:val="16"/>
                <w:szCs w:val="16"/>
              </w:rPr>
            </w:pPr>
            <w:r>
              <w:rPr>
                <w:sz w:val="16"/>
                <w:szCs w:val="16"/>
              </w:rPr>
              <w:t>Percentage of eligible votes cast: 99.</w:t>
            </w:r>
            <w:r w:rsidR="00DA5828">
              <w:rPr>
                <w:sz w:val="16"/>
                <w:szCs w:val="16"/>
              </w:rPr>
              <w:t>9</w:t>
            </w:r>
            <w:r>
              <w:rPr>
                <w:sz w:val="16"/>
                <w:szCs w:val="16"/>
              </w:rPr>
              <w:t>%</w:t>
            </w:r>
          </w:p>
          <w:p w14:paraId="628EE922" w14:textId="295A8423" w:rsidR="00C42E5B" w:rsidRDefault="00C42E5B" w:rsidP="00724DB3">
            <w:pPr>
              <w:pStyle w:val="Heading4"/>
              <w:numPr>
                <w:ilvl w:val="0"/>
                <w:numId w:val="0"/>
              </w:numPr>
              <w:tabs>
                <w:tab w:val="left" w:pos="720"/>
              </w:tabs>
              <w:spacing w:before="120" w:after="120"/>
              <w:ind w:left="680" w:hanging="680"/>
              <w:rPr>
                <w:sz w:val="16"/>
                <w:szCs w:val="16"/>
              </w:rPr>
            </w:pPr>
            <w:r>
              <w:rPr>
                <w:sz w:val="16"/>
                <w:szCs w:val="16"/>
              </w:rPr>
              <w:t>Percentage of votes with management: 8</w:t>
            </w:r>
            <w:r w:rsidR="00DA5828">
              <w:rPr>
                <w:sz w:val="16"/>
                <w:szCs w:val="16"/>
              </w:rPr>
              <w:t>5.0</w:t>
            </w:r>
            <w:r>
              <w:rPr>
                <w:sz w:val="16"/>
                <w:szCs w:val="16"/>
              </w:rPr>
              <w:t>%</w:t>
            </w:r>
          </w:p>
          <w:p w14:paraId="1F92ADE5" w14:textId="5F02695F" w:rsidR="00C42E5B" w:rsidRDefault="00C42E5B" w:rsidP="00724DB3">
            <w:pPr>
              <w:pStyle w:val="Heading4"/>
              <w:numPr>
                <w:ilvl w:val="0"/>
                <w:numId w:val="0"/>
              </w:numPr>
              <w:tabs>
                <w:tab w:val="left" w:pos="720"/>
              </w:tabs>
              <w:spacing w:before="120" w:after="120"/>
              <w:ind w:left="680" w:hanging="680"/>
              <w:rPr>
                <w:sz w:val="16"/>
                <w:szCs w:val="16"/>
              </w:rPr>
            </w:pPr>
            <w:r>
              <w:rPr>
                <w:sz w:val="16"/>
                <w:szCs w:val="16"/>
              </w:rPr>
              <w:t>Percentage of votes against management: 1</w:t>
            </w:r>
            <w:r w:rsidR="00DA5828">
              <w:rPr>
                <w:sz w:val="16"/>
                <w:szCs w:val="16"/>
              </w:rPr>
              <w:t>5.0</w:t>
            </w:r>
            <w:r>
              <w:rPr>
                <w:sz w:val="16"/>
                <w:szCs w:val="16"/>
              </w:rPr>
              <w:t>%</w:t>
            </w:r>
          </w:p>
          <w:p w14:paraId="5925FD49" w14:textId="34E8CBF7" w:rsidR="00C42E5B" w:rsidRDefault="00C42E5B" w:rsidP="00724DB3">
            <w:pPr>
              <w:pStyle w:val="Heading4"/>
              <w:numPr>
                <w:ilvl w:val="0"/>
                <w:numId w:val="0"/>
              </w:numPr>
              <w:tabs>
                <w:tab w:val="left" w:pos="720"/>
              </w:tabs>
              <w:spacing w:before="120" w:after="120"/>
              <w:ind w:left="680" w:hanging="680"/>
              <w:rPr>
                <w:b/>
                <w:color w:val="5B9BD5"/>
                <w:sz w:val="16"/>
                <w:szCs w:val="16"/>
              </w:rPr>
            </w:pPr>
            <w:r>
              <w:rPr>
                <w:sz w:val="16"/>
                <w:szCs w:val="16"/>
              </w:rPr>
              <w:t>Percentage of votes abstained from: 0.</w:t>
            </w:r>
            <w:r w:rsidR="00DA5828">
              <w:rPr>
                <w:sz w:val="16"/>
                <w:szCs w:val="16"/>
              </w:rPr>
              <w:t>0</w:t>
            </w:r>
            <w:r>
              <w:rPr>
                <w:sz w:val="16"/>
                <w:szCs w:val="16"/>
              </w:rPr>
              <w:t>%</w:t>
            </w:r>
          </w:p>
        </w:tc>
      </w:tr>
      <w:tr w:rsidR="00C42E5B" w14:paraId="22000AD5" w14:textId="77777777" w:rsidTr="00724DB3">
        <w:trPr>
          <w:trHeight w:val="854"/>
        </w:trPr>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E64FF" w14:textId="77777777" w:rsidR="00C42E5B" w:rsidRDefault="00C42E5B" w:rsidP="00724DB3">
            <w:pPr>
              <w:pStyle w:val="Heading4"/>
              <w:numPr>
                <w:ilvl w:val="0"/>
                <w:numId w:val="0"/>
              </w:numPr>
              <w:tabs>
                <w:tab w:val="left" w:pos="720"/>
              </w:tabs>
              <w:spacing w:before="120" w:after="120"/>
              <w:jc w:val="center"/>
              <w:rPr>
                <w:b/>
                <w:bCs w:val="0"/>
                <w:color w:val="7030A0"/>
                <w:sz w:val="16"/>
                <w:szCs w:val="16"/>
              </w:rPr>
            </w:pPr>
            <w:r>
              <w:rPr>
                <w:b/>
                <w:bCs w:val="0"/>
                <w:color w:val="7030A0"/>
                <w:sz w:val="16"/>
                <w:szCs w:val="16"/>
              </w:rPr>
              <w:t>Most significant votes cast</w:t>
            </w:r>
          </w:p>
          <w:p w14:paraId="50D55D82" w14:textId="77777777" w:rsidR="00C42E5B" w:rsidRDefault="00C42E5B" w:rsidP="00724DB3">
            <w:pPr>
              <w:pStyle w:val="Heading4"/>
              <w:numPr>
                <w:ilvl w:val="3"/>
                <w:numId w:val="60"/>
              </w:numPr>
              <w:spacing w:before="120" w:after="120"/>
              <w:ind w:left="0"/>
              <w:rPr>
                <w:b/>
                <w:bCs w:val="0"/>
                <w:color w:val="7030A0"/>
                <w:sz w:val="14"/>
                <w:szCs w:val="14"/>
              </w:rPr>
            </w:pPr>
          </w:p>
        </w:tc>
        <w:tc>
          <w:tcPr>
            <w:tcW w:w="7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11A05" w14:textId="77777777" w:rsidR="00C42E5B" w:rsidRDefault="00C42E5B" w:rsidP="00724DB3">
            <w:pPr>
              <w:pStyle w:val="Heading4"/>
              <w:numPr>
                <w:ilvl w:val="0"/>
                <w:numId w:val="0"/>
              </w:numPr>
              <w:tabs>
                <w:tab w:val="left" w:pos="720"/>
              </w:tabs>
              <w:spacing w:before="120" w:after="120"/>
              <w:rPr>
                <w:color w:val="000000"/>
                <w:sz w:val="16"/>
                <w:szCs w:val="16"/>
              </w:rPr>
            </w:pPr>
            <w:r w:rsidRPr="00C42E5B">
              <w:rPr>
                <w:color w:val="000000"/>
                <w:sz w:val="16"/>
                <w:szCs w:val="16"/>
              </w:rPr>
              <w:t>There were no significant votes made in relation to the securities held by this fund during the reporting period.</w:t>
            </w:r>
          </w:p>
        </w:tc>
      </w:tr>
    </w:tbl>
    <w:p w14:paraId="76AC5F1F" w14:textId="77777777" w:rsidR="00C42E5B" w:rsidRDefault="00C42E5B" w:rsidP="00C42E5B">
      <w:pPr>
        <w:rPr>
          <w:rFonts w:ascii="Calibri" w:eastAsiaTheme="minorHAnsi" w:hAnsi="Calibri" w:cs="Calibri"/>
          <w:sz w:val="22"/>
          <w:szCs w:val="22"/>
        </w:rPr>
      </w:pPr>
    </w:p>
    <w:p w14:paraId="3279513D" w14:textId="732E67D9" w:rsidR="00717310" w:rsidRDefault="00717310" w:rsidP="00EC1AC0">
      <w:pPr>
        <w:rPr>
          <w:rFonts w:ascii="Calibri" w:eastAsiaTheme="minorHAnsi" w:hAnsi="Calibri" w:cs="Calibri"/>
          <w:sz w:val="22"/>
          <w:szCs w:val="22"/>
        </w:rPr>
      </w:pPr>
    </w:p>
    <w:p w14:paraId="5652F61A" w14:textId="77777777" w:rsidR="00717310" w:rsidRDefault="00717310" w:rsidP="00EC1AC0">
      <w:pPr>
        <w:rPr>
          <w:rFonts w:ascii="Calibri" w:eastAsiaTheme="minorHAnsi" w:hAnsi="Calibri" w:cs="Calibri"/>
          <w:sz w:val="22"/>
          <w:szCs w:val="22"/>
        </w:rPr>
      </w:pPr>
    </w:p>
    <w:p w14:paraId="769D8B4B" w14:textId="77777777" w:rsidR="00B01EDC" w:rsidRDefault="00B01EDC" w:rsidP="00EC1AC0">
      <w:pPr>
        <w:rPr>
          <w:rFonts w:ascii="Calibri" w:eastAsiaTheme="minorHAnsi" w:hAnsi="Calibri" w:cs="Calibri"/>
          <w:sz w:val="22"/>
          <w:szCs w:val="22"/>
        </w:rPr>
      </w:pPr>
    </w:p>
    <w:p w14:paraId="61597DB2" w14:textId="77777777" w:rsidR="004D4789" w:rsidRDefault="004D4789" w:rsidP="00EC1AC0">
      <w:pPr>
        <w:rPr>
          <w:rFonts w:ascii="Calibri" w:eastAsiaTheme="minorHAnsi" w:hAnsi="Calibri" w:cs="Calibri"/>
          <w:sz w:val="22"/>
          <w:szCs w:val="22"/>
        </w:rPr>
      </w:pPr>
    </w:p>
    <w:p w14:paraId="1AA5D3DE" w14:textId="77777777" w:rsidR="002079F9" w:rsidRDefault="002079F9" w:rsidP="002079F9">
      <w:pPr>
        <w:rPr>
          <w:rFonts w:cs="Arial"/>
          <w:szCs w:val="20"/>
          <w:u w:val="single"/>
        </w:rPr>
      </w:pPr>
      <w:r>
        <w:rPr>
          <w:u w:val="single"/>
        </w:rPr>
        <w:t>Other matters</w:t>
      </w:r>
    </w:p>
    <w:p w14:paraId="66BDAF15" w14:textId="77777777" w:rsidR="002079F9" w:rsidRDefault="002079F9" w:rsidP="002079F9">
      <w:pPr>
        <w:rPr>
          <w:rFonts w:ascii="Calibri" w:hAnsi="Calibri" w:cs="Calibri"/>
          <w:color w:val="000000"/>
          <w:sz w:val="22"/>
          <w:szCs w:val="22"/>
          <w:u w:val="single"/>
        </w:rPr>
      </w:pPr>
    </w:p>
    <w:p w14:paraId="15F2A4C1" w14:textId="681888A6" w:rsidR="002079F9" w:rsidRDefault="002079F9" w:rsidP="002079F9">
      <w:pPr>
        <w:pStyle w:val="legclearfix2"/>
        <w:spacing w:after="0" w:line="240" w:lineRule="auto"/>
        <w:rPr>
          <w:rFonts w:ascii="Arial" w:hAnsi="Arial" w:cs="Arial"/>
          <w:color w:val="auto"/>
          <w:sz w:val="20"/>
          <w:szCs w:val="20"/>
        </w:rPr>
      </w:pPr>
      <w:r>
        <w:rPr>
          <w:rFonts w:ascii="Arial" w:hAnsi="Arial" w:cs="Arial"/>
          <w:color w:val="000000"/>
          <w:sz w:val="20"/>
          <w:szCs w:val="20"/>
        </w:rPr>
        <w:t xml:space="preserve">In relation to investment factors, the Trustee has identified </w:t>
      </w:r>
      <w:proofErr w:type="gramStart"/>
      <w:r>
        <w:rPr>
          <w:rFonts w:ascii="Arial" w:hAnsi="Arial" w:cs="Arial"/>
          <w:color w:val="000000"/>
          <w:sz w:val="20"/>
          <w:szCs w:val="20"/>
        </w:rPr>
        <w:t>a number of</w:t>
      </w:r>
      <w:proofErr w:type="gramEnd"/>
      <w:r>
        <w:rPr>
          <w:rFonts w:ascii="Arial" w:hAnsi="Arial" w:cs="Arial"/>
          <w:color w:val="000000"/>
          <w:sz w:val="20"/>
          <w:szCs w:val="20"/>
        </w:rPr>
        <w:t xml:space="preserve"> risks which it seeks to manage and monitor, in conjunction with the Fiduciary Manager. The Fiduciary Manager reports to the Trustee on Solvency and mismatch risk, investment manager risk, liquidity risk, and interest rate and inflation risks in quarterly meeting papers which were discussed at the Trustee’s quarterly meetings. </w:t>
      </w:r>
    </w:p>
    <w:p w14:paraId="18A737B6" w14:textId="77777777" w:rsidR="002079F9" w:rsidRDefault="002079F9" w:rsidP="002079F9">
      <w:pPr>
        <w:pStyle w:val="legclearfix2"/>
        <w:spacing w:after="0" w:line="240" w:lineRule="auto"/>
        <w:rPr>
          <w:rFonts w:ascii="Arial" w:hAnsi="Arial" w:cs="Arial"/>
          <w:color w:val="auto"/>
          <w:sz w:val="20"/>
          <w:szCs w:val="20"/>
        </w:rPr>
      </w:pPr>
    </w:p>
    <w:p w14:paraId="6211126A" w14:textId="416428CE" w:rsidR="002079F9" w:rsidRDefault="002079F9" w:rsidP="002079F9">
      <w:pPr>
        <w:pStyle w:val="legclearfix2"/>
        <w:spacing w:after="0" w:line="240" w:lineRule="auto"/>
        <w:rPr>
          <w:rFonts w:ascii="Arial" w:hAnsi="Arial" w:cs="Arial"/>
          <w:color w:val="auto"/>
          <w:sz w:val="20"/>
          <w:szCs w:val="20"/>
        </w:rPr>
      </w:pPr>
      <w:r>
        <w:rPr>
          <w:rFonts w:ascii="Arial" w:hAnsi="Arial" w:cs="Arial"/>
          <w:color w:val="000000"/>
          <w:sz w:val="20"/>
          <w:szCs w:val="20"/>
        </w:rPr>
        <w:lastRenderedPageBreak/>
        <w:t>In addition to these risks,</w:t>
      </w:r>
      <w:r w:rsidR="00357027">
        <w:rPr>
          <w:rFonts w:ascii="Arial" w:hAnsi="Arial" w:cs="Arial"/>
          <w:color w:val="000000"/>
          <w:sz w:val="20"/>
          <w:szCs w:val="20"/>
        </w:rPr>
        <w:t xml:space="preserve"> through the fiduciary manager</w:t>
      </w:r>
      <w:r>
        <w:rPr>
          <w:rFonts w:ascii="Arial" w:hAnsi="Arial" w:cs="Arial"/>
          <w:color w:val="000000"/>
          <w:sz w:val="20"/>
          <w:szCs w:val="20"/>
        </w:rPr>
        <w:t xml:space="preserve"> the Trustee also seeks to measure and manage:</w:t>
      </w:r>
    </w:p>
    <w:p w14:paraId="43FC496B" w14:textId="77777777" w:rsidR="002079F9" w:rsidRDefault="002079F9" w:rsidP="002079F9">
      <w:pPr>
        <w:pStyle w:val="legclearfix2"/>
        <w:spacing w:after="0" w:line="240" w:lineRule="auto"/>
        <w:rPr>
          <w:rFonts w:ascii="Arial" w:hAnsi="Arial" w:cs="Arial"/>
          <w:color w:val="auto"/>
          <w:sz w:val="20"/>
          <w:szCs w:val="20"/>
        </w:rPr>
      </w:pPr>
    </w:p>
    <w:p w14:paraId="409970B4" w14:textId="35BB8FF6" w:rsidR="002079F9" w:rsidRDefault="002079F9" w:rsidP="002079F9">
      <w:pPr>
        <w:pStyle w:val="legclearfix2"/>
        <w:numPr>
          <w:ilvl w:val="0"/>
          <w:numId w:val="59"/>
        </w:numPr>
        <w:spacing w:after="0" w:line="240" w:lineRule="auto"/>
        <w:rPr>
          <w:rFonts w:ascii="Arial" w:eastAsia="Times New Roman" w:hAnsi="Arial" w:cs="Arial"/>
          <w:color w:val="auto"/>
          <w:sz w:val="20"/>
          <w:szCs w:val="20"/>
        </w:rPr>
      </w:pPr>
      <w:r>
        <w:rPr>
          <w:rFonts w:ascii="Arial" w:eastAsia="Times New Roman" w:hAnsi="Arial" w:cs="Arial"/>
          <w:color w:val="000000"/>
          <w:sz w:val="20"/>
          <w:szCs w:val="20"/>
          <w:u w:val="single"/>
        </w:rPr>
        <w:t>Currency risk:</w:t>
      </w:r>
      <w:r>
        <w:rPr>
          <w:rFonts w:ascii="Arial" w:eastAsia="Times New Roman" w:hAnsi="Arial" w:cs="Arial"/>
          <w:color w:val="000000"/>
          <w:sz w:val="20"/>
          <w:szCs w:val="20"/>
        </w:rPr>
        <w:t xml:space="preserve"> some of the Trustee’s investments are denominated in a different currency to the Scheme’s liabilities which creates a mismatch. The Fiduciary Manager managed the Scheme’s exposure to foreign currencies within guidelines set by the Trustee. Currency hedging was implemented using a combination of hedged and unhedged pooled fund exposures. The Fiduciary Manager left a proportion of the Scheme’s foreign currency exposure unhedged for diversification and return perspective. The Fiduciary Manager monitored the Scheme’s unhedged exposures on a regular basis and reported this to the Trustee as part of its quarterly meeting papers. </w:t>
      </w:r>
    </w:p>
    <w:p w14:paraId="59857345" w14:textId="77777777" w:rsidR="002079F9" w:rsidRDefault="002079F9" w:rsidP="002079F9">
      <w:pPr>
        <w:pStyle w:val="legclearfix2"/>
        <w:spacing w:after="0" w:line="240" w:lineRule="auto"/>
        <w:ind w:left="720"/>
        <w:rPr>
          <w:rFonts w:ascii="Arial" w:hAnsi="Arial" w:cs="Arial"/>
          <w:color w:val="auto"/>
          <w:sz w:val="20"/>
          <w:szCs w:val="20"/>
        </w:rPr>
      </w:pPr>
    </w:p>
    <w:p w14:paraId="6FA3FBA6" w14:textId="71670154" w:rsidR="002079F9" w:rsidRDefault="002079F9" w:rsidP="002079F9">
      <w:pPr>
        <w:pStyle w:val="legclearfix2"/>
        <w:numPr>
          <w:ilvl w:val="0"/>
          <w:numId w:val="59"/>
        </w:numPr>
        <w:spacing w:after="0" w:line="240" w:lineRule="auto"/>
        <w:rPr>
          <w:rFonts w:ascii="Arial" w:eastAsia="Times New Roman" w:hAnsi="Arial" w:cs="Arial"/>
          <w:color w:val="auto"/>
          <w:sz w:val="20"/>
          <w:szCs w:val="20"/>
        </w:rPr>
      </w:pPr>
      <w:r>
        <w:rPr>
          <w:rFonts w:ascii="Arial" w:eastAsia="Times New Roman" w:hAnsi="Arial" w:cs="Arial"/>
          <w:color w:val="000000"/>
          <w:sz w:val="20"/>
          <w:szCs w:val="20"/>
          <w:u w:val="single"/>
        </w:rPr>
        <w:t>Custodial risk:</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Scheme is exposed to the risk that any assets held on the custodian’s balance sheet could be lost if the custodian was to become insolvent. The Trustee addressed this by investing in pooled funds where the Scheme’s assets are held by a separate custodian appointed by the manager. In addition, any uninvested cash was swept into a pooled cash fund at the custodian where the assets are held off the custodian’s balance sheet. In addition, the Fiduciary Manager’s specialist research team reviews the custodian on a periodic basis. </w:t>
      </w:r>
    </w:p>
    <w:p w14:paraId="00FA0A7E" w14:textId="77777777" w:rsidR="002079F9" w:rsidRDefault="002079F9" w:rsidP="002079F9">
      <w:pPr>
        <w:pStyle w:val="ListParagraph"/>
        <w:rPr>
          <w:rFonts w:eastAsiaTheme="minorHAnsi" w:cs="Arial"/>
          <w:szCs w:val="20"/>
        </w:rPr>
      </w:pPr>
    </w:p>
    <w:p w14:paraId="13712891" w14:textId="1A2DC1A9" w:rsidR="002079F9" w:rsidRDefault="002079F9" w:rsidP="002079F9">
      <w:pPr>
        <w:pStyle w:val="legclearfix2"/>
        <w:numPr>
          <w:ilvl w:val="0"/>
          <w:numId w:val="59"/>
        </w:numPr>
        <w:spacing w:after="0" w:line="240" w:lineRule="auto"/>
        <w:rPr>
          <w:rFonts w:eastAsia="Times New Roman"/>
          <w:i/>
          <w:iCs/>
          <w:u w:val="single"/>
        </w:rPr>
      </w:pPr>
      <w:r>
        <w:rPr>
          <w:rFonts w:ascii="Arial" w:eastAsia="Times New Roman" w:hAnsi="Arial" w:cs="Arial"/>
          <w:color w:val="000000"/>
          <w:sz w:val="20"/>
          <w:szCs w:val="20"/>
          <w:u w:val="single"/>
        </w:rPr>
        <w:t xml:space="preserve">Political risk: </w:t>
      </w:r>
      <w:proofErr w:type="gramStart"/>
      <w:r>
        <w:rPr>
          <w:rFonts w:ascii="Arial" w:eastAsia="Times New Roman" w:hAnsi="Arial" w:cs="Arial"/>
          <w:color w:val="000000"/>
          <w:sz w:val="20"/>
          <w:szCs w:val="20"/>
        </w:rPr>
        <w:t>the</w:t>
      </w:r>
      <w:proofErr w:type="gramEnd"/>
      <w:r>
        <w:rPr>
          <w:rFonts w:ascii="Arial" w:eastAsia="Times New Roman" w:hAnsi="Arial" w:cs="Arial"/>
          <w:color w:val="000000"/>
          <w:sz w:val="20"/>
          <w:szCs w:val="20"/>
        </w:rPr>
        <w:t xml:space="preserve"> Trustee recognises that the value of the Scheme’s assets may be impacted by political regimes and actions, particularly in less established/ more opaque markets. Throughout the year, the Scheme’s portfolio remained well diversified by geography. The Fiduciary Manager considers political risk when determining whether to allocate capital to an investment and in determining the relative sizing of an investment. </w:t>
      </w:r>
    </w:p>
    <w:p w14:paraId="772DFD45" w14:textId="77777777" w:rsidR="002079F9" w:rsidRDefault="002079F9" w:rsidP="002079F9">
      <w:pPr>
        <w:pStyle w:val="legclearfix2"/>
        <w:spacing w:after="0" w:line="240" w:lineRule="auto"/>
        <w:rPr>
          <w:i/>
          <w:iCs/>
          <w:u w:val="single"/>
        </w:rPr>
      </w:pPr>
    </w:p>
    <w:p w14:paraId="3A5A270E" w14:textId="36B00EAA" w:rsidR="002079F9" w:rsidRDefault="002079F9" w:rsidP="002079F9">
      <w:pPr>
        <w:pStyle w:val="legclearfix2"/>
        <w:numPr>
          <w:ilvl w:val="0"/>
          <w:numId w:val="59"/>
        </w:numPr>
        <w:spacing w:after="0" w:line="240" w:lineRule="auto"/>
        <w:ind w:left="714" w:hanging="357"/>
        <w:rPr>
          <w:rFonts w:ascii="Arial" w:hAnsi="Arial" w:cs="Arial"/>
          <w:color w:val="000000"/>
          <w:sz w:val="20"/>
          <w:szCs w:val="20"/>
        </w:rPr>
      </w:pPr>
      <w:r>
        <w:rPr>
          <w:rFonts w:ascii="Arial" w:hAnsi="Arial" w:cs="Arial"/>
          <w:color w:val="000000"/>
          <w:sz w:val="20"/>
          <w:szCs w:val="20"/>
          <w:u w:val="single"/>
        </w:rPr>
        <w:t xml:space="preserve">Sponsor risk: </w:t>
      </w:r>
      <w:proofErr w:type="gramStart"/>
      <w:r>
        <w:rPr>
          <w:rFonts w:ascii="Arial" w:hAnsi="Arial" w:cs="Arial"/>
          <w:color w:val="000000"/>
          <w:sz w:val="20"/>
          <w:szCs w:val="20"/>
        </w:rPr>
        <w:t>the</w:t>
      </w:r>
      <w:proofErr w:type="gramEnd"/>
      <w:r>
        <w:rPr>
          <w:rFonts w:ascii="Arial" w:hAnsi="Arial" w:cs="Arial"/>
          <w:color w:val="000000"/>
          <w:sz w:val="20"/>
          <w:szCs w:val="20"/>
        </w:rPr>
        <w:t xml:space="preserve"> Trustee evaluates information relating to the Sponsor covenant on a regular basis. In addition, the Trustee engages an independent covenant assessor at each triennial valuation. The Trustee has agreed a contribution and funding schedule commensurate with the strength of the Sponsor and the Scheme’s journey plan. </w:t>
      </w:r>
    </w:p>
    <w:p w14:paraId="345BD187" w14:textId="77777777" w:rsidR="00F418CF" w:rsidRPr="00604948" w:rsidRDefault="00F418CF" w:rsidP="004D431C">
      <w:pPr>
        <w:rPr>
          <w:rFonts w:cs="Arial"/>
        </w:rPr>
      </w:pPr>
    </w:p>
    <w:p w14:paraId="0B30CBE3" w14:textId="5F221C56" w:rsidR="00470B7A" w:rsidRPr="0069354A" w:rsidRDefault="00470B7A" w:rsidP="00470B7A">
      <w:pPr>
        <w:pStyle w:val="Heading1"/>
        <w:pageBreakBefore/>
        <w:rPr>
          <w:color w:val="702082"/>
        </w:rPr>
      </w:pPr>
      <w:bookmarkStart w:id="3" w:name="_Toc421537092"/>
      <w:bookmarkStart w:id="4" w:name="_Toc516757962"/>
      <w:bookmarkStart w:id="5" w:name="_Toc53387169"/>
      <w:r w:rsidRPr="0069354A">
        <w:rPr>
          <w:color w:val="702082"/>
        </w:rPr>
        <w:lastRenderedPageBreak/>
        <w:t xml:space="preserve">Section </w:t>
      </w:r>
      <w:r w:rsidR="00C126D5">
        <w:rPr>
          <w:color w:val="702082"/>
        </w:rPr>
        <w:t>4</w:t>
      </w:r>
      <w:r w:rsidRPr="0069354A">
        <w:rPr>
          <w:color w:val="702082"/>
        </w:rPr>
        <w:t xml:space="preserve">: </w:t>
      </w:r>
      <w:bookmarkEnd w:id="3"/>
      <w:bookmarkEnd w:id="4"/>
      <w:bookmarkEnd w:id="5"/>
      <w:r w:rsidR="0059594D">
        <w:rPr>
          <w:color w:val="702082"/>
        </w:rPr>
        <w:t>Conclusion</w:t>
      </w:r>
    </w:p>
    <w:p w14:paraId="5E1E1DB8" w14:textId="0DE51DD8" w:rsidR="003C11F6" w:rsidRPr="00357027" w:rsidRDefault="003C11F6" w:rsidP="003B4350">
      <w:pPr>
        <w:pStyle w:val="BodyText"/>
        <w:spacing w:before="120"/>
        <w:rPr>
          <w:rFonts w:cs="Arial"/>
        </w:rPr>
      </w:pPr>
      <w:r w:rsidRPr="00357027">
        <w:rPr>
          <w:rFonts w:cs="Arial"/>
        </w:rPr>
        <w:t>The Trustee believe</w:t>
      </w:r>
      <w:r w:rsidR="00D94B92" w:rsidRPr="00357027">
        <w:rPr>
          <w:rFonts w:cs="Arial"/>
        </w:rPr>
        <w:t>s</w:t>
      </w:r>
      <w:r w:rsidRPr="00357027">
        <w:rPr>
          <w:rFonts w:cs="Arial"/>
        </w:rPr>
        <w:t xml:space="preserve"> that the</w:t>
      </w:r>
      <w:r w:rsidR="005F0AE4" w:rsidRPr="00357027">
        <w:rPr>
          <w:rFonts w:cs="Arial"/>
        </w:rPr>
        <w:t xml:space="preserve"> </w:t>
      </w:r>
      <w:r w:rsidR="00742131" w:rsidRPr="00357027">
        <w:rPr>
          <w:rFonts w:cs="Arial"/>
        </w:rPr>
        <w:t>Scheme’s</w:t>
      </w:r>
      <w:r w:rsidRPr="00357027">
        <w:rPr>
          <w:rFonts w:cs="Arial"/>
        </w:rPr>
        <w:t xml:space="preserve"> engagement policy as outlined in the SIP has been adhered to</w:t>
      </w:r>
      <w:r w:rsidR="005F0AE4" w:rsidRPr="00357027">
        <w:rPr>
          <w:rFonts w:cs="Arial"/>
        </w:rPr>
        <w:t xml:space="preserve"> over the </w:t>
      </w:r>
      <w:r w:rsidR="005D5187" w:rsidRPr="00357027">
        <w:rPr>
          <w:rFonts w:cs="Arial"/>
        </w:rPr>
        <w:t>scheme</w:t>
      </w:r>
      <w:r w:rsidR="005F0AE4" w:rsidRPr="00357027">
        <w:rPr>
          <w:rFonts w:cs="Arial"/>
        </w:rPr>
        <w:t xml:space="preserve"> year. </w:t>
      </w:r>
    </w:p>
    <w:p w14:paraId="1EA9AFF7" w14:textId="3ADFACAE" w:rsidR="003C11F6" w:rsidRDefault="003C11F6" w:rsidP="003B4350">
      <w:pPr>
        <w:pStyle w:val="BodyText"/>
        <w:spacing w:before="120"/>
        <w:rPr>
          <w:rFonts w:cs="Arial"/>
        </w:rPr>
      </w:pPr>
      <w:r>
        <w:rPr>
          <w:rFonts w:cs="Arial"/>
        </w:rPr>
        <w:t xml:space="preserve">Following monitoring of the </w:t>
      </w:r>
      <w:r w:rsidR="002079F9">
        <w:rPr>
          <w:rFonts w:cs="Arial"/>
        </w:rPr>
        <w:t>Scheme’s</w:t>
      </w:r>
      <w:r>
        <w:rPr>
          <w:rFonts w:cs="Arial"/>
        </w:rPr>
        <w:t xml:space="preserve"> investment managers over the year, and </w:t>
      </w:r>
      <w:r w:rsidR="005F0AE4">
        <w:rPr>
          <w:rFonts w:cs="Arial"/>
        </w:rPr>
        <w:t xml:space="preserve">reviewing </w:t>
      </w:r>
      <w:r>
        <w:rPr>
          <w:rFonts w:cs="Arial"/>
        </w:rPr>
        <w:t xml:space="preserve">the voting information outlined in this statement, the Trustee </w:t>
      </w:r>
      <w:r w:rsidR="005F0AE4">
        <w:rPr>
          <w:rFonts w:cs="Arial"/>
        </w:rPr>
        <w:t>is</w:t>
      </w:r>
      <w:r>
        <w:rPr>
          <w:rFonts w:cs="Arial"/>
        </w:rPr>
        <w:t xml:space="preserve"> satisfied that </w:t>
      </w:r>
      <w:r w:rsidR="005B06DE">
        <w:rPr>
          <w:rFonts w:cs="Arial"/>
        </w:rPr>
        <w:t>LGIM</w:t>
      </w:r>
      <w:r w:rsidR="00CE1FA5">
        <w:rPr>
          <w:rFonts w:cs="Arial"/>
        </w:rPr>
        <w:t xml:space="preserve"> </w:t>
      </w:r>
      <w:r>
        <w:rPr>
          <w:rFonts w:cs="Arial"/>
        </w:rPr>
        <w:t xml:space="preserve">are acting in the </w:t>
      </w:r>
      <w:r w:rsidR="00742131">
        <w:rPr>
          <w:rFonts w:cs="Arial"/>
        </w:rPr>
        <w:t>Scheme</w:t>
      </w:r>
      <w:r>
        <w:rPr>
          <w:rFonts w:cs="Arial"/>
        </w:rPr>
        <w:t xml:space="preserve"> members</w:t>
      </w:r>
      <w:r w:rsidR="00610BCA">
        <w:rPr>
          <w:rFonts w:cs="Arial"/>
        </w:rPr>
        <w:t>’</w:t>
      </w:r>
      <w:r>
        <w:rPr>
          <w:rFonts w:cs="Arial"/>
        </w:rPr>
        <w:t xml:space="preserve"> best interest and are effective stewards of the </w:t>
      </w:r>
      <w:r w:rsidR="00742131">
        <w:rPr>
          <w:rFonts w:cs="Arial"/>
        </w:rPr>
        <w:t>Scheme’s</w:t>
      </w:r>
      <w:r>
        <w:rPr>
          <w:rFonts w:cs="Arial"/>
        </w:rPr>
        <w:t xml:space="preserve"> </w:t>
      </w:r>
      <w:r w:rsidR="005F0AE4">
        <w:rPr>
          <w:rFonts w:cs="Arial"/>
        </w:rPr>
        <w:t>assets.</w:t>
      </w:r>
      <w:r>
        <w:rPr>
          <w:rFonts w:cs="Arial"/>
        </w:rPr>
        <w:t xml:space="preserve"> </w:t>
      </w:r>
    </w:p>
    <w:p w14:paraId="0C5C78AF" w14:textId="6F9F93A5" w:rsidR="005F0AE4" w:rsidRDefault="003C11F6" w:rsidP="003B4350">
      <w:pPr>
        <w:pStyle w:val="BodyText"/>
        <w:spacing w:before="120"/>
        <w:rPr>
          <w:rFonts w:cs="Arial"/>
        </w:rPr>
      </w:pPr>
      <w:r w:rsidRPr="0F3724B7">
        <w:rPr>
          <w:rFonts w:cs="Arial"/>
        </w:rPr>
        <w:t xml:space="preserve">The </w:t>
      </w:r>
      <w:r w:rsidR="00CE1FA5" w:rsidRPr="0F3724B7">
        <w:rPr>
          <w:rFonts w:cs="Arial"/>
        </w:rPr>
        <w:t>Fiduciary Manager</w:t>
      </w:r>
      <w:r w:rsidRPr="0F3724B7">
        <w:rPr>
          <w:rFonts w:cs="Arial"/>
        </w:rPr>
        <w:t xml:space="preserve"> will continue to monitor the investment managers</w:t>
      </w:r>
      <w:r w:rsidR="00610BCA" w:rsidRPr="0F3724B7">
        <w:rPr>
          <w:rFonts w:cs="Arial"/>
        </w:rPr>
        <w:t>’</w:t>
      </w:r>
      <w:r w:rsidRPr="0F3724B7">
        <w:rPr>
          <w:rFonts w:cs="Arial"/>
        </w:rPr>
        <w:t xml:space="preserve"> stewardship </w:t>
      </w:r>
      <w:r w:rsidR="005F0AE4" w:rsidRPr="0F3724B7">
        <w:rPr>
          <w:rFonts w:cs="Arial"/>
        </w:rPr>
        <w:t xml:space="preserve">practices on an ongoing basis. </w:t>
      </w:r>
      <w:r w:rsidR="528251A8" w:rsidRPr="0F3724B7">
        <w:rPr>
          <w:rFonts w:cs="Arial"/>
        </w:rPr>
        <w:t xml:space="preserve">The Fiduciary Manager </w:t>
      </w:r>
      <w:r w:rsidR="6E66088D" w:rsidRPr="0F3724B7">
        <w:rPr>
          <w:rFonts w:cs="Arial"/>
        </w:rPr>
        <w:t>believes</w:t>
      </w:r>
      <w:r w:rsidR="6613CBB6" w:rsidRPr="0F3724B7">
        <w:rPr>
          <w:rFonts w:cs="Arial"/>
        </w:rPr>
        <w:t xml:space="preserve"> </w:t>
      </w:r>
      <w:r w:rsidR="528251A8" w:rsidRPr="0F3724B7">
        <w:rPr>
          <w:rFonts w:cs="Arial"/>
        </w:rPr>
        <w:t>that the</w:t>
      </w:r>
      <w:r w:rsidR="22EF677B" w:rsidRPr="0F3724B7">
        <w:rPr>
          <w:rFonts w:cs="Arial"/>
        </w:rPr>
        <w:t xml:space="preserve"> governance </w:t>
      </w:r>
      <w:r w:rsidR="68E29C76" w:rsidRPr="0F3724B7">
        <w:rPr>
          <w:rFonts w:cs="Arial"/>
        </w:rPr>
        <w:t xml:space="preserve">policies </w:t>
      </w:r>
      <w:r w:rsidR="22EF677B" w:rsidRPr="0F3724B7">
        <w:rPr>
          <w:rFonts w:cs="Arial"/>
        </w:rPr>
        <w:t xml:space="preserve">of </w:t>
      </w:r>
      <w:r w:rsidR="310A596D" w:rsidRPr="0F3724B7">
        <w:rPr>
          <w:rFonts w:cs="Arial"/>
        </w:rPr>
        <w:t xml:space="preserve">both </w:t>
      </w:r>
      <w:r w:rsidR="22EF677B" w:rsidRPr="0F3724B7">
        <w:rPr>
          <w:rFonts w:cs="Arial"/>
        </w:rPr>
        <w:t>the investment managers</w:t>
      </w:r>
      <w:r w:rsidR="6A01D0CD" w:rsidRPr="0F3724B7">
        <w:rPr>
          <w:rFonts w:cs="Arial"/>
        </w:rPr>
        <w:t xml:space="preserve"> and the fiduciary manager are aligned with the engagement policy</w:t>
      </w:r>
      <w:r w:rsidR="22EF677B" w:rsidRPr="0F3724B7">
        <w:rPr>
          <w:rFonts w:cs="Arial"/>
        </w:rPr>
        <w:t xml:space="preserve"> </w:t>
      </w:r>
      <w:r w:rsidR="53F11AAD" w:rsidRPr="0F3724B7">
        <w:rPr>
          <w:rFonts w:cs="Arial"/>
        </w:rPr>
        <w:t>outlined in the SIP.</w:t>
      </w:r>
    </w:p>
    <w:p w14:paraId="13AF9DF6" w14:textId="24848E86" w:rsidR="003C11F6" w:rsidRPr="003C11F6" w:rsidRDefault="005F0AE4" w:rsidP="003B4350">
      <w:pPr>
        <w:pStyle w:val="BodyText"/>
        <w:spacing w:before="120"/>
        <w:rPr>
          <w:rFonts w:cs="Arial"/>
        </w:rPr>
      </w:pPr>
      <w:r>
        <w:rPr>
          <w:rFonts w:cs="Arial"/>
        </w:rPr>
        <w:t xml:space="preserve"> </w:t>
      </w:r>
    </w:p>
    <w:p w14:paraId="3ECEF685" w14:textId="77777777" w:rsidR="003C11F6" w:rsidRDefault="003C11F6" w:rsidP="003B4350">
      <w:pPr>
        <w:pStyle w:val="BodyText"/>
        <w:spacing w:before="120"/>
        <w:rPr>
          <w:rFonts w:cs="Arial"/>
          <w:color w:val="FF0000"/>
        </w:rPr>
      </w:pPr>
    </w:p>
    <w:p w14:paraId="79726214" w14:textId="77777777" w:rsidR="003C11F6" w:rsidRDefault="003C11F6" w:rsidP="003B4350">
      <w:pPr>
        <w:pStyle w:val="BodyText"/>
        <w:spacing w:before="120"/>
        <w:rPr>
          <w:rFonts w:cs="Arial"/>
          <w:color w:val="FF0000"/>
        </w:rPr>
      </w:pPr>
    </w:p>
    <w:p w14:paraId="299A8F90" w14:textId="77777777" w:rsidR="00AB0CB9" w:rsidRPr="0069354A" w:rsidRDefault="00AB0CB9">
      <w:pPr>
        <w:spacing w:after="160" w:line="259" w:lineRule="auto"/>
        <w:rPr>
          <w:rFonts w:cs="Arial"/>
          <w:bCs/>
          <w:color w:val="FF0000"/>
          <w:szCs w:val="20"/>
        </w:rPr>
      </w:pPr>
    </w:p>
    <w:p w14:paraId="79A0F99D" w14:textId="77777777" w:rsidR="00F418CF" w:rsidRDefault="00F418CF" w:rsidP="00D30A6F">
      <w:pPr>
        <w:spacing w:after="160" w:line="259" w:lineRule="auto"/>
      </w:pPr>
    </w:p>
    <w:p w14:paraId="63B0F2D8" w14:textId="72DE5C80" w:rsidR="00F418CF" w:rsidRDefault="00F418CF" w:rsidP="006F1FDA">
      <w:pPr>
        <w:pStyle w:val="Heading4"/>
        <w:numPr>
          <w:ilvl w:val="0"/>
          <w:numId w:val="0"/>
        </w:numPr>
        <w:spacing w:before="120" w:after="120"/>
        <w:rPr>
          <w:rFonts w:cs="Arial"/>
          <w:color w:val="FF0000"/>
          <w:szCs w:val="20"/>
        </w:rPr>
      </w:pPr>
    </w:p>
    <w:p w14:paraId="578F8100" w14:textId="77777777" w:rsidR="00F418CF" w:rsidRPr="0075658D" w:rsidRDefault="00F418CF" w:rsidP="006F1FDA">
      <w:pPr>
        <w:pStyle w:val="Heading4"/>
        <w:numPr>
          <w:ilvl w:val="0"/>
          <w:numId w:val="0"/>
        </w:numPr>
        <w:spacing w:before="120" w:after="120"/>
        <w:rPr>
          <w:rFonts w:cs="Arial"/>
          <w:color w:val="FF0000"/>
          <w:szCs w:val="20"/>
        </w:rPr>
      </w:pPr>
    </w:p>
    <w:sectPr w:rsidR="00F418CF" w:rsidRPr="0075658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23CF" w14:textId="77777777" w:rsidR="0034127A" w:rsidRDefault="0034127A" w:rsidP="001B355B">
      <w:r>
        <w:separator/>
      </w:r>
    </w:p>
  </w:endnote>
  <w:endnote w:type="continuationSeparator" w:id="0">
    <w:p w14:paraId="7AB45607" w14:textId="77777777" w:rsidR="0034127A" w:rsidRDefault="0034127A" w:rsidP="001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F684" w14:textId="77777777" w:rsidR="000C3C9D" w:rsidRDefault="000C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237812"/>
      <w:docPartObj>
        <w:docPartGallery w:val="Page Numbers (Bottom of Page)"/>
        <w:docPartUnique/>
      </w:docPartObj>
    </w:sdtPr>
    <w:sdtEndPr/>
    <w:sdtContent>
      <w:sdt>
        <w:sdtPr>
          <w:id w:val="-1769616900"/>
          <w:docPartObj>
            <w:docPartGallery w:val="Page Numbers (Top of Page)"/>
            <w:docPartUnique/>
          </w:docPartObj>
        </w:sdtPr>
        <w:sdtEndPr/>
        <w:sdtContent>
          <w:p w14:paraId="56B39A47" w14:textId="04BA1FF2" w:rsidR="00C126D5" w:rsidRDefault="00C126D5">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815760B" w14:textId="77777777" w:rsidR="00C126D5" w:rsidRDefault="00C12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CC14" w14:textId="77777777" w:rsidR="000C3C9D" w:rsidRDefault="000C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02F4" w14:textId="77777777" w:rsidR="0034127A" w:rsidRDefault="0034127A" w:rsidP="001B355B">
      <w:r>
        <w:separator/>
      </w:r>
    </w:p>
  </w:footnote>
  <w:footnote w:type="continuationSeparator" w:id="0">
    <w:p w14:paraId="1D21958A" w14:textId="77777777" w:rsidR="0034127A" w:rsidRDefault="0034127A" w:rsidP="001B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BDC4" w14:textId="77777777" w:rsidR="000C3C9D" w:rsidRDefault="000C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1653" w14:textId="77777777" w:rsidR="000C3C9D" w:rsidRDefault="000C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E48F" w14:textId="77777777" w:rsidR="000C3C9D" w:rsidRDefault="000C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720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166B0"/>
    <w:multiLevelType w:val="hybridMultilevel"/>
    <w:tmpl w:val="0A4ECA82"/>
    <w:lvl w:ilvl="0" w:tplc="08090001">
      <w:start w:val="1"/>
      <w:numFmt w:val="bullet"/>
      <w:lvlText w:val=""/>
      <w:lvlJc w:val="left"/>
      <w:pPr>
        <w:ind w:left="360" w:hanging="360"/>
      </w:pPr>
      <w:rPr>
        <w:rFonts w:ascii="Symbol" w:hAnsi="Symbol" w:hint="default"/>
      </w:rPr>
    </w:lvl>
    <w:lvl w:ilvl="1" w:tplc="B842393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129F8"/>
    <w:multiLevelType w:val="hybridMultilevel"/>
    <w:tmpl w:val="91560EC0"/>
    <w:lvl w:ilvl="0" w:tplc="5952F9C0">
      <w:start w:val="1"/>
      <w:numFmt w:val="decimal"/>
      <w:lvlText w:val="%1."/>
      <w:lvlJc w:val="left"/>
      <w:pPr>
        <w:tabs>
          <w:tab w:val="num" w:pos="360"/>
        </w:tabs>
        <w:ind w:left="360" w:hanging="360"/>
      </w:pPr>
    </w:lvl>
    <w:lvl w:ilvl="1" w:tplc="BDD40E64" w:tentative="1">
      <w:start w:val="1"/>
      <w:numFmt w:val="decimal"/>
      <w:lvlText w:val="%2."/>
      <w:lvlJc w:val="left"/>
      <w:pPr>
        <w:tabs>
          <w:tab w:val="num" w:pos="1080"/>
        </w:tabs>
        <w:ind w:left="1080" w:hanging="360"/>
      </w:pPr>
    </w:lvl>
    <w:lvl w:ilvl="2" w:tplc="6474272C" w:tentative="1">
      <w:start w:val="1"/>
      <w:numFmt w:val="decimal"/>
      <w:lvlText w:val="%3."/>
      <w:lvlJc w:val="left"/>
      <w:pPr>
        <w:tabs>
          <w:tab w:val="num" w:pos="1800"/>
        </w:tabs>
        <w:ind w:left="1800" w:hanging="360"/>
      </w:pPr>
    </w:lvl>
    <w:lvl w:ilvl="3" w:tplc="0D92E0F6" w:tentative="1">
      <w:start w:val="1"/>
      <w:numFmt w:val="decimal"/>
      <w:lvlText w:val="%4."/>
      <w:lvlJc w:val="left"/>
      <w:pPr>
        <w:tabs>
          <w:tab w:val="num" w:pos="2520"/>
        </w:tabs>
        <w:ind w:left="2520" w:hanging="360"/>
      </w:pPr>
    </w:lvl>
    <w:lvl w:ilvl="4" w:tplc="EA58F794" w:tentative="1">
      <w:start w:val="1"/>
      <w:numFmt w:val="decimal"/>
      <w:lvlText w:val="%5."/>
      <w:lvlJc w:val="left"/>
      <w:pPr>
        <w:tabs>
          <w:tab w:val="num" w:pos="3240"/>
        </w:tabs>
        <w:ind w:left="3240" w:hanging="360"/>
      </w:pPr>
    </w:lvl>
    <w:lvl w:ilvl="5" w:tplc="7FF0A652" w:tentative="1">
      <w:start w:val="1"/>
      <w:numFmt w:val="decimal"/>
      <w:lvlText w:val="%6."/>
      <w:lvlJc w:val="left"/>
      <w:pPr>
        <w:tabs>
          <w:tab w:val="num" w:pos="3960"/>
        </w:tabs>
        <w:ind w:left="3960" w:hanging="360"/>
      </w:pPr>
    </w:lvl>
    <w:lvl w:ilvl="6" w:tplc="28E06E98" w:tentative="1">
      <w:start w:val="1"/>
      <w:numFmt w:val="decimal"/>
      <w:lvlText w:val="%7."/>
      <w:lvlJc w:val="left"/>
      <w:pPr>
        <w:tabs>
          <w:tab w:val="num" w:pos="4680"/>
        </w:tabs>
        <w:ind w:left="4680" w:hanging="360"/>
      </w:pPr>
    </w:lvl>
    <w:lvl w:ilvl="7" w:tplc="476E967C" w:tentative="1">
      <w:start w:val="1"/>
      <w:numFmt w:val="decimal"/>
      <w:lvlText w:val="%8."/>
      <w:lvlJc w:val="left"/>
      <w:pPr>
        <w:tabs>
          <w:tab w:val="num" w:pos="5400"/>
        </w:tabs>
        <w:ind w:left="5400" w:hanging="360"/>
      </w:pPr>
    </w:lvl>
    <w:lvl w:ilvl="8" w:tplc="8A6241BE" w:tentative="1">
      <w:start w:val="1"/>
      <w:numFmt w:val="decimal"/>
      <w:lvlText w:val="%9."/>
      <w:lvlJc w:val="left"/>
      <w:pPr>
        <w:tabs>
          <w:tab w:val="num" w:pos="6120"/>
        </w:tabs>
        <w:ind w:left="6120" w:hanging="360"/>
      </w:pPr>
    </w:lvl>
  </w:abstractNum>
  <w:abstractNum w:abstractNumId="3" w15:restartNumberingAfterBreak="0">
    <w:nsid w:val="0BC40EC9"/>
    <w:multiLevelType w:val="hybridMultilevel"/>
    <w:tmpl w:val="B0B223A4"/>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343"/>
    <w:multiLevelType w:val="hybridMultilevel"/>
    <w:tmpl w:val="5F0E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5F28"/>
    <w:multiLevelType w:val="hybridMultilevel"/>
    <w:tmpl w:val="75A2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5D81"/>
    <w:multiLevelType w:val="hybridMultilevel"/>
    <w:tmpl w:val="DA5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83758"/>
    <w:multiLevelType w:val="hybridMultilevel"/>
    <w:tmpl w:val="D54A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34AA9"/>
    <w:multiLevelType w:val="hybridMultilevel"/>
    <w:tmpl w:val="04D010D0"/>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97933"/>
    <w:multiLevelType w:val="hybridMultilevel"/>
    <w:tmpl w:val="C754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122BA"/>
    <w:multiLevelType w:val="hybridMultilevel"/>
    <w:tmpl w:val="E67E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D24C1"/>
    <w:multiLevelType w:val="hybridMultilevel"/>
    <w:tmpl w:val="51EC4E28"/>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B001A"/>
    <w:multiLevelType w:val="hybridMultilevel"/>
    <w:tmpl w:val="49D00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E5E87"/>
    <w:multiLevelType w:val="hybridMultilevel"/>
    <w:tmpl w:val="51DE19FC"/>
    <w:lvl w:ilvl="0" w:tplc="72A8F16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A1669"/>
    <w:multiLevelType w:val="hybridMultilevel"/>
    <w:tmpl w:val="F4D2C404"/>
    <w:lvl w:ilvl="0" w:tplc="6CFC9E66">
      <w:start w:val="1"/>
      <w:numFmt w:val="decimal"/>
      <w:lvlText w:val="%1."/>
      <w:lvlJc w:val="left"/>
      <w:pPr>
        <w:tabs>
          <w:tab w:val="num" w:pos="360"/>
        </w:tabs>
        <w:ind w:left="360" w:hanging="360"/>
      </w:pPr>
    </w:lvl>
    <w:lvl w:ilvl="1" w:tplc="545CD738" w:tentative="1">
      <w:start w:val="1"/>
      <w:numFmt w:val="decimal"/>
      <w:lvlText w:val="%2."/>
      <w:lvlJc w:val="left"/>
      <w:pPr>
        <w:tabs>
          <w:tab w:val="num" w:pos="1080"/>
        </w:tabs>
        <w:ind w:left="1080" w:hanging="360"/>
      </w:pPr>
    </w:lvl>
    <w:lvl w:ilvl="2" w:tplc="0EA4243A" w:tentative="1">
      <w:start w:val="1"/>
      <w:numFmt w:val="decimal"/>
      <w:lvlText w:val="%3."/>
      <w:lvlJc w:val="left"/>
      <w:pPr>
        <w:tabs>
          <w:tab w:val="num" w:pos="1800"/>
        </w:tabs>
        <w:ind w:left="1800" w:hanging="360"/>
      </w:pPr>
    </w:lvl>
    <w:lvl w:ilvl="3" w:tplc="18862E7C" w:tentative="1">
      <w:start w:val="1"/>
      <w:numFmt w:val="decimal"/>
      <w:lvlText w:val="%4."/>
      <w:lvlJc w:val="left"/>
      <w:pPr>
        <w:tabs>
          <w:tab w:val="num" w:pos="2520"/>
        </w:tabs>
        <w:ind w:left="2520" w:hanging="360"/>
      </w:pPr>
    </w:lvl>
    <w:lvl w:ilvl="4" w:tplc="8FBE0724" w:tentative="1">
      <w:start w:val="1"/>
      <w:numFmt w:val="decimal"/>
      <w:lvlText w:val="%5."/>
      <w:lvlJc w:val="left"/>
      <w:pPr>
        <w:tabs>
          <w:tab w:val="num" w:pos="3240"/>
        </w:tabs>
        <w:ind w:left="3240" w:hanging="360"/>
      </w:pPr>
    </w:lvl>
    <w:lvl w:ilvl="5" w:tplc="2A7E7848" w:tentative="1">
      <w:start w:val="1"/>
      <w:numFmt w:val="decimal"/>
      <w:lvlText w:val="%6."/>
      <w:lvlJc w:val="left"/>
      <w:pPr>
        <w:tabs>
          <w:tab w:val="num" w:pos="3960"/>
        </w:tabs>
        <w:ind w:left="3960" w:hanging="360"/>
      </w:pPr>
    </w:lvl>
    <w:lvl w:ilvl="6" w:tplc="D5F6DFF0" w:tentative="1">
      <w:start w:val="1"/>
      <w:numFmt w:val="decimal"/>
      <w:lvlText w:val="%7."/>
      <w:lvlJc w:val="left"/>
      <w:pPr>
        <w:tabs>
          <w:tab w:val="num" w:pos="4680"/>
        </w:tabs>
        <w:ind w:left="4680" w:hanging="360"/>
      </w:pPr>
    </w:lvl>
    <w:lvl w:ilvl="7" w:tplc="AF921A04" w:tentative="1">
      <w:start w:val="1"/>
      <w:numFmt w:val="decimal"/>
      <w:lvlText w:val="%8."/>
      <w:lvlJc w:val="left"/>
      <w:pPr>
        <w:tabs>
          <w:tab w:val="num" w:pos="5400"/>
        </w:tabs>
        <w:ind w:left="5400" w:hanging="360"/>
      </w:pPr>
    </w:lvl>
    <w:lvl w:ilvl="8" w:tplc="4F6C425E" w:tentative="1">
      <w:start w:val="1"/>
      <w:numFmt w:val="decimal"/>
      <w:lvlText w:val="%9."/>
      <w:lvlJc w:val="left"/>
      <w:pPr>
        <w:tabs>
          <w:tab w:val="num" w:pos="6120"/>
        </w:tabs>
        <w:ind w:left="6120" w:hanging="360"/>
      </w:pPr>
    </w:lvl>
  </w:abstractNum>
  <w:abstractNum w:abstractNumId="15" w15:restartNumberingAfterBreak="0">
    <w:nsid w:val="27150333"/>
    <w:multiLevelType w:val="hybridMultilevel"/>
    <w:tmpl w:val="E1B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74E69"/>
    <w:multiLevelType w:val="hybridMultilevel"/>
    <w:tmpl w:val="C26C5008"/>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65E26"/>
    <w:multiLevelType w:val="hybridMultilevel"/>
    <w:tmpl w:val="91CE09D4"/>
    <w:lvl w:ilvl="0" w:tplc="652A97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A7B33"/>
    <w:multiLevelType w:val="hybridMultilevel"/>
    <w:tmpl w:val="4C8AC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C3558"/>
    <w:multiLevelType w:val="hybridMultilevel"/>
    <w:tmpl w:val="71205702"/>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627C1"/>
    <w:multiLevelType w:val="hybridMultilevel"/>
    <w:tmpl w:val="C8921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502FE6"/>
    <w:multiLevelType w:val="multilevel"/>
    <w:tmpl w:val="0AD03406"/>
    <w:lvl w:ilvl="0">
      <w:start w:val="1"/>
      <w:numFmt w:val="decimal"/>
      <w:suff w:val="nothing"/>
      <w:lvlText w:val="Section %1"/>
      <w:lvlJc w:val="left"/>
      <w:pPr>
        <w:ind w:left="1702" w:firstLine="0"/>
      </w:pPr>
      <w:rPr>
        <w:rFonts w:hint="default"/>
        <w:b w:val="0"/>
        <w:bCs w:val="0"/>
        <w:i w:val="0"/>
        <w:iCs w:val="0"/>
        <w:caps w:val="0"/>
        <w:smallCaps w:val="0"/>
        <w:strike w:val="0"/>
        <w:dstrike w:val="0"/>
        <w:outline w:val="0"/>
        <w:shadow w:val="0"/>
        <w:emboss w:val="0"/>
        <w:imprint w:val="0"/>
        <w:noProof w:val="0"/>
        <w:vanish w:val="0"/>
        <w:color w:val="7020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Heading4"/>
      <w:lvlText w:val="%1.%4"/>
      <w:lvlJc w:val="left"/>
      <w:pPr>
        <w:tabs>
          <w:tab w:val="num" w:pos="5925"/>
        </w:tabs>
        <w:ind w:left="5925" w:hanging="680"/>
      </w:pPr>
      <w:rPr>
        <w:rFonts w:cs="Times New Roman" w:hint="default"/>
      </w:rPr>
    </w:lvl>
    <w:lvl w:ilvl="4">
      <w:start w:val="1"/>
      <w:numFmt w:val="lowerRoman"/>
      <w:pStyle w:val="Heading5"/>
      <w:lvlText w:val="(%5)"/>
      <w:lvlJc w:val="right"/>
      <w:pPr>
        <w:tabs>
          <w:tab w:val="num" w:pos="1020"/>
        </w:tabs>
        <w:ind w:left="1020" w:hanging="340"/>
      </w:pPr>
      <w:rPr>
        <w:rFonts w:hint="default"/>
      </w:rPr>
    </w:lvl>
    <w:lvl w:ilvl="5">
      <w:start w:val="1"/>
      <w:numFmt w:val="decimal"/>
      <w:pStyle w:val="Heading6"/>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1276"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2" w15:restartNumberingAfterBreak="0">
    <w:nsid w:val="358E3AFD"/>
    <w:multiLevelType w:val="hybridMultilevel"/>
    <w:tmpl w:val="6AE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505F8"/>
    <w:multiLevelType w:val="multilevel"/>
    <w:tmpl w:val="378659B0"/>
    <w:name w:val="NumberListTemplate"/>
    <w:lvl w:ilvl="0">
      <w:start w:val="1"/>
      <w:numFmt w:val="decimal"/>
      <w:suff w:val="nothing"/>
      <w:lvlText w:val=""/>
      <w:lvlJc w:val="left"/>
      <w:pPr>
        <w:tabs>
          <w:tab w:val="num" w:pos="0"/>
        </w:tabs>
        <w:ind w:left="0" w:firstLine="0"/>
      </w:pPr>
      <w:rPr>
        <w:rFonts w:cs="Times New Roman"/>
      </w:rPr>
    </w:lvl>
    <w:lvl w:ilvl="1">
      <w:start w:val="1"/>
      <w:numFmt w:val="decimal"/>
      <w:pStyle w:val="NumberedList1"/>
      <w:lvlText w:val="%2."/>
      <w:lvlJc w:val="left"/>
      <w:pPr>
        <w:tabs>
          <w:tab w:val="num" w:pos="454"/>
        </w:tabs>
        <w:ind w:left="454" w:hanging="454"/>
      </w:pPr>
    </w:lvl>
    <w:lvl w:ilvl="2">
      <w:start w:val="1"/>
      <w:numFmt w:val="lowerLetter"/>
      <w:pStyle w:val="NumberedList2"/>
      <w:lvlText w:val="%3."/>
      <w:lvlJc w:val="left"/>
      <w:pPr>
        <w:tabs>
          <w:tab w:val="num" w:pos="907"/>
        </w:tabs>
        <w:ind w:left="907" w:hanging="453"/>
      </w:pPr>
      <w:rPr>
        <w:b w:val="0"/>
        <w:i w:val="0"/>
      </w:rPr>
    </w:lvl>
    <w:lvl w:ilvl="3">
      <w:start w:val="1"/>
      <w:numFmt w:val="lowerRoman"/>
      <w:lvlRestart w:val="0"/>
      <w:pStyle w:val="NumberedList3"/>
      <w:lvlText w:val="%4."/>
      <w:lvlJc w:val="left"/>
      <w:pPr>
        <w:tabs>
          <w:tab w:val="num" w:pos="1361"/>
        </w:tabs>
        <w:ind w:left="1361" w:hanging="454"/>
      </w:pPr>
      <w:rPr>
        <w:b w:val="0"/>
        <w:i w:val="0"/>
      </w:rPr>
    </w:lvl>
    <w:lvl w:ilvl="4">
      <w:start w:val="1"/>
      <w:numFmt w:val="upperLetter"/>
      <w:pStyle w:val="NumberedList4"/>
      <w:lvlText w:val="%5."/>
      <w:lvlJc w:val="left"/>
      <w:pPr>
        <w:tabs>
          <w:tab w:val="num" w:pos="454"/>
        </w:tabs>
        <w:ind w:left="454" w:hanging="454"/>
      </w:pPr>
      <w:rPr>
        <w:b w:val="0"/>
        <w:i w:val="0"/>
      </w:rPr>
    </w:lvl>
    <w:lvl w:ilvl="5">
      <w:start w:val="1"/>
      <w:numFmt w:val="lowerLetter"/>
      <w:pStyle w:val="NumberedList5"/>
      <w:lvlText w:val="%6."/>
      <w:lvlJc w:val="left"/>
      <w:pPr>
        <w:tabs>
          <w:tab w:val="num" w:pos="340"/>
        </w:tabs>
        <w:ind w:left="340" w:hanging="340"/>
      </w:pPr>
      <w:rPr>
        <w:b w:val="0"/>
        <w:i w:val="0"/>
      </w:rPr>
    </w:lvl>
    <w:lvl w:ilvl="6">
      <w:start w:val="1"/>
      <w:numFmt w:val="decimal"/>
      <w:lvlRestart w:val="0"/>
      <w:pStyle w:val="NumberedList6"/>
      <w:lvlText w:val=""/>
      <w:lvlJc w:val="left"/>
      <w:pPr>
        <w:tabs>
          <w:tab w:val="num" w:pos="0"/>
        </w:tabs>
        <w:ind w:left="0" w:firstLine="0"/>
      </w:pPr>
      <w:rPr>
        <w:b w:val="0"/>
        <w:i w:val="0"/>
      </w:rPr>
    </w:lvl>
    <w:lvl w:ilvl="7">
      <w:start w:val="1"/>
      <w:numFmt w:val="decimal"/>
      <w:lvlRestart w:val="0"/>
      <w:pStyle w:val="NumberedList7"/>
      <w:lvlText w:val=""/>
      <w:lvlJc w:val="left"/>
      <w:pPr>
        <w:tabs>
          <w:tab w:val="num" w:pos="0"/>
        </w:tabs>
        <w:ind w:left="0" w:firstLine="0"/>
      </w:pPr>
      <w:rPr>
        <w:b w:val="0"/>
        <w:i w:val="0"/>
      </w:rPr>
    </w:lvl>
    <w:lvl w:ilvl="8">
      <w:start w:val="1"/>
      <w:numFmt w:val="decimal"/>
      <w:lvlRestart w:val="0"/>
      <w:pStyle w:val="NumberedList8"/>
      <w:lvlText w:val=""/>
      <w:lvlJc w:val="left"/>
      <w:pPr>
        <w:tabs>
          <w:tab w:val="num" w:pos="0"/>
        </w:tabs>
        <w:ind w:left="0" w:firstLine="0"/>
      </w:pPr>
      <w:rPr>
        <w:b w:val="0"/>
        <w:i w:val="0"/>
      </w:rPr>
    </w:lvl>
  </w:abstractNum>
  <w:abstractNum w:abstractNumId="24" w15:restartNumberingAfterBreak="0">
    <w:nsid w:val="3DB460F8"/>
    <w:multiLevelType w:val="multilevel"/>
    <w:tmpl w:val="5EDE02F2"/>
    <w:lvl w:ilvl="0">
      <w:start w:val="1"/>
      <w:numFmt w:val="decimal"/>
      <w:pStyle w:val="OutlineNum"/>
      <w:lvlText w:val="%1."/>
      <w:lvlJc w:val="left"/>
      <w:pPr>
        <w:tabs>
          <w:tab w:val="num" w:pos="720"/>
        </w:tabs>
        <w:ind w:left="720" w:hanging="720"/>
      </w:pPr>
      <w:rPr>
        <w:rFonts w:ascii="Times New Roman" w:hAnsi="Times New Roman" w:cs="Times New Roman" w:hint="default"/>
        <w:b/>
        <w:bCs w:val="0"/>
        <w:i w:val="0"/>
        <w:iCs w:val="0"/>
        <w:sz w:val="24"/>
        <w:szCs w:val="24"/>
      </w:rPr>
    </w:lvl>
    <w:lvl w:ilvl="1">
      <w:start w:val="1"/>
      <w:numFmt w:val="decimal"/>
      <w:pStyle w:val="OutlineNum2"/>
      <w:lvlText w:val="%1.%2"/>
      <w:lvlJc w:val="left"/>
      <w:pPr>
        <w:tabs>
          <w:tab w:val="num" w:pos="720"/>
        </w:tabs>
        <w:ind w:left="720" w:hanging="720"/>
      </w:pPr>
      <w:rPr>
        <w:rFonts w:ascii="Times New Roman" w:hAnsi="Times New Roman" w:cs="Times New Roman" w:hint="default"/>
        <w:b/>
        <w:bCs w:val="0"/>
        <w:i w:val="0"/>
        <w:iCs w:val="0"/>
        <w:sz w:val="24"/>
        <w:szCs w:val="24"/>
      </w:rPr>
    </w:lvl>
    <w:lvl w:ilvl="2">
      <w:start w:val="1"/>
      <w:numFmt w:val="decimal"/>
      <w:pStyle w:val="OutlineNum3"/>
      <w:lvlText w:val="%1.%2.%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07E6577"/>
    <w:multiLevelType w:val="hybridMultilevel"/>
    <w:tmpl w:val="96DA9F76"/>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34D13"/>
    <w:multiLevelType w:val="hybridMultilevel"/>
    <w:tmpl w:val="6A281A9A"/>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94310E"/>
    <w:multiLevelType w:val="hybridMultilevel"/>
    <w:tmpl w:val="3AE86108"/>
    <w:lvl w:ilvl="0" w:tplc="E674AEAC">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E9229B"/>
    <w:multiLevelType w:val="hybridMultilevel"/>
    <w:tmpl w:val="92BA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51C12"/>
    <w:multiLevelType w:val="hybridMultilevel"/>
    <w:tmpl w:val="3924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932AD"/>
    <w:multiLevelType w:val="multilevel"/>
    <w:tmpl w:val="4D46E194"/>
    <w:styleLink w:val="Heading"/>
    <w:lvl w:ilvl="0">
      <w:start w:val="1"/>
      <w:numFmt w:val="decimal"/>
      <w:lvlRestart w:val="0"/>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4"/>
      <w:lvlJc w:val="left"/>
      <w:pPr>
        <w:tabs>
          <w:tab w:val="num" w:pos="680"/>
        </w:tabs>
        <w:ind w:left="680" w:hanging="680"/>
      </w:pPr>
      <w:rPr>
        <w:rFonts w:cs="Times New Roman" w:hint="default"/>
      </w:rPr>
    </w:lvl>
    <w:lvl w:ilvl="4">
      <w:start w:val="1"/>
      <w:numFmt w:val="lowerLetter"/>
      <w:lvlText w:val="%5"/>
      <w:lvlJc w:val="left"/>
      <w:pPr>
        <w:tabs>
          <w:tab w:val="num" w:pos="1021"/>
        </w:tabs>
        <w:ind w:left="1021" w:hanging="341"/>
      </w:pPr>
      <w:rPr>
        <w:rFonts w:cs="Times New Roman"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1" w15:restartNumberingAfterBreak="0">
    <w:nsid w:val="50C84C19"/>
    <w:multiLevelType w:val="hybridMultilevel"/>
    <w:tmpl w:val="4F6C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211C23"/>
    <w:multiLevelType w:val="hybridMultilevel"/>
    <w:tmpl w:val="91C6F094"/>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C6961"/>
    <w:multiLevelType w:val="hybridMultilevel"/>
    <w:tmpl w:val="148A4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72CA1"/>
    <w:multiLevelType w:val="hybridMultilevel"/>
    <w:tmpl w:val="B07ACB2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43FCE"/>
    <w:multiLevelType w:val="hybridMultilevel"/>
    <w:tmpl w:val="FF14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41FF9"/>
    <w:multiLevelType w:val="hybridMultilevel"/>
    <w:tmpl w:val="B82C21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6AD50C0"/>
    <w:multiLevelType w:val="hybridMultilevel"/>
    <w:tmpl w:val="DEAE6D32"/>
    <w:lvl w:ilvl="0" w:tplc="75FE1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A590E"/>
    <w:multiLevelType w:val="hybridMultilevel"/>
    <w:tmpl w:val="5CAC9FB8"/>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F563B7"/>
    <w:multiLevelType w:val="hybridMultilevel"/>
    <w:tmpl w:val="59C8C512"/>
    <w:lvl w:ilvl="0" w:tplc="E674AEA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580332"/>
    <w:multiLevelType w:val="hybridMultilevel"/>
    <w:tmpl w:val="6B4E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321B33"/>
    <w:multiLevelType w:val="hybridMultilevel"/>
    <w:tmpl w:val="16344BFC"/>
    <w:lvl w:ilvl="0" w:tplc="5DE82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CA52B5"/>
    <w:multiLevelType w:val="hybridMultilevel"/>
    <w:tmpl w:val="67C66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21BED"/>
    <w:multiLevelType w:val="multilevel"/>
    <w:tmpl w:val="F59E5E12"/>
    <w:lvl w:ilvl="0">
      <w:start w:val="1"/>
      <w:numFmt w:val="decimal"/>
      <w:lvlText w:val=""/>
      <w:lvlJc w:val="left"/>
      <w:pPr>
        <w:tabs>
          <w:tab w:val="num" w:pos="460"/>
        </w:tabs>
        <w:ind w:left="460" w:hanging="460"/>
      </w:pPr>
      <w:rPr>
        <w:rFonts w:ascii="Wingdings" w:hAnsi="Wingdings" w:hint="default"/>
        <w:color w:val="E65032"/>
      </w:rPr>
    </w:lvl>
    <w:lvl w:ilvl="1">
      <w:start w:val="1"/>
      <w:numFmt w:val="lowerLetter"/>
      <w:lvlText w:val="–"/>
      <w:lvlJc w:val="left"/>
      <w:pPr>
        <w:tabs>
          <w:tab w:val="num" w:pos="900"/>
        </w:tabs>
        <w:ind w:left="900" w:hanging="440"/>
      </w:pPr>
      <w:rPr>
        <w:rFonts w:ascii="Arial" w:hAnsi="Arial"/>
        <w:color w:val="7030A0"/>
      </w:rPr>
    </w:lvl>
    <w:lvl w:ilvl="2">
      <w:start w:val="1"/>
      <w:numFmt w:val="lowerRoman"/>
      <w:lvlText w:val=""/>
      <w:lvlJc w:val="left"/>
      <w:pPr>
        <w:tabs>
          <w:tab w:val="num" w:pos="1169"/>
        </w:tabs>
        <w:ind w:left="1169" w:hanging="460"/>
      </w:pPr>
      <w:rPr>
        <w:rFonts w:ascii="Wingdings" w:hAnsi="Wingdings" w:hint="default"/>
        <w:color w:val="7030A0"/>
      </w:rPr>
    </w:lvl>
    <w:lvl w:ilvl="3">
      <w:start w:val="1"/>
      <w:numFmt w:val="decimal"/>
      <w:lvlText w:val="–"/>
      <w:lvlJc w:val="left"/>
      <w:pPr>
        <w:tabs>
          <w:tab w:val="num" w:pos="1820"/>
        </w:tabs>
        <w:ind w:left="1820" w:hanging="460"/>
      </w:pPr>
      <w:rPr>
        <w:rFonts w:ascii="Arial" w:hAnsi="Arial"/>
        <w:color w:val="E65032"/>
      </w:rPr>
    </w:lvl>
    <w:lvl w:ilvl="4">
      <w:start w:val="1"/>
      <w:numFmt w:val="lowerLetter"/>
      <w:lvlText w:val=""/>
      <w:lvlJc w:val="left"/>
      <w:pPr>
        <w:tabs>
          <w:tab w:val="num" w:pos="0"/>
        </w:tabs>
        <w:ind w:left="0" w:firstLine="0"/>
      </w:pPr>
      <w:rPr>
        <w:color w:val="000000"/>
      </w:rPr>
    </w:lvl>
    <w:lvl w:ilvl="5">
      <w:start w:val="1"/>
      <w:numFmt w:val="lowerRoman"/>
      <w:lvlText w:val=""/>
      <w:lvlJc w:val="left"/>
      <w:pPr>
        <w:tabs>
          <w:tab w:val="num" w:pos="0"/>
        </w:tabs>
        <w:ind w:left="0" w:firstLine="0"/>
      </w:pPr>
      <w:rPr>
        <w:color w:val="000000"/>
      </w:rPr>
    </w:lvl>
    <w:lvl w:ilvl="6">
      <w:start w:val="1"/>
      <w:numFmt w:val="decimal"/>
      <w:lvlText w:val=""/>
      <w:lvlJc w:val="left"/>
      <w:pPr>
        <w:tabs>
          <w:tab w:val="num" w:pos="0"/>
        </w:tabs>
        <w:ind w:left="0" w:firstLine="0"/>
      </w:pPr>
      <w:rPr>
        <w:color w:val="000000"/>
      </w:rPr>
    </w:lvl>
    <w:lvl w:ilvl="7">
      <w:start w:val="1"/>
      <w:numFmt w:val="lowerLetter"/>
      <w:lvlText w:val=""/>
      <w:lvlJc w:val="left"/>
      <w:pPr>
        <w:tabs>
          <w:tab w:val="num" w:pos="0"/>
        </w:tabs>
        <w:ind w:left="0" w:firstLine="0"/>
      </w:pPr>
      <w:rPr>
        <w:color w:val="000000"/>
      </w:rPr>
    </w:lvl>
    <w:lvl w:ilvl="8">
      <w:start w:val="1"/>
      <w:numFmt w:val="lowerRoman"/>
      <w:lvlText w:val=""/>
      <w:lvlJc w:val="left"/>
      <w:pPr>
        <w:tabs>
          <w:tab w:val="num" w:pos="0"/>
        </w:tabs>
        <w:ind w:left="0" w:firstLine="0"/>
      </w:pPr>
      <w:rPr>
        <w:color w:val="000000"/>
      </w:rPr>
    </w:lvl>
  </w:abstractNum>
  <w:abstractNum w:abstractNumId="44" w15:restartNumberingAfterBreak="0">
    <w:nsid w:val="6FDF1C56"/>
    <w:multiLevelType w:val="hybridMultilevel"/>
    <w:tmpl w:val="8E42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5B3C77"/>
    <w:multiLevelType w:val="hybridMultilevel"/>
    <w:tmpl w:val="BEB6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D5E66"/>
    <w:multiLevelType w:val="hybridMultilevel"/>
    <w:tmpl w:val="66F423FA"/>
    <w:lvl w:ilvl="0" w:tplc="652A97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16C38"/>
    <w:multiLevelType w:val="hybridMultilevel"/>
    <w:tmpl w:val="67988974"/>
    <w:lvl w:ilvl="0" w:tplc="0B006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4C18DE"/>
    <w:multiLevelType w:val="hybridMultilevel"/>
    <w:tmpl w:val="490CA21E"/>
    <w:lvl w:ilvl="0" w:tplc="3216C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CB185E"/>
    <w:multiLevelType w:val="hybridMultilevel"/>
    <w:tmpl w:val="0B40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857BC"/>
    <w:multiLevelType w:val="hybridMultilevel"/>
    <w:tmpl w:val="056A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C31982"/>
    <w:multiLevelType w:val="hybridMultilevel"/>
    <w:tmpl w:val="83CA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D23178"/>
    <w:multiLevelType w:val="hybridMultilevel"/>
    <w:tmpl w:val="D7BE2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317442"/>
    <w:multiLevelType w:val="hybridMultilevel"/>
    <w:tmpl w:val="9C96B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9F4480"/>
    <w:multiLevelType w:val="hybridMultilevel"/>
    <w:tmpl w:val="3968A31E"/>
    <w:lvl w:ilvl="0" w:tplc="E674AEAC">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53"/>
  </w:num>
  <w:num w:numId="3">
    <w:abstractNumId w:val="46"/>
  </w:num>
  <w:num w:numId="4">
    <w:abstractNumId w:val="41"/>
  </w:num>
  <w:num w:numId="5">
    <w:abstractNumId w:val="17"/>
  </w:num>
  <w:num w:numId="6">
    <w:abstractNumId w:val="52"/>
  </w:num>
  <w:num w:numId="7">
    <w:abstractNumId w:val="13"/>
  </w:num>
  <w:num w:numId="8">
    <w:abstractNumId w:val="23"/>
  </w:num>
  <w:num w:numId="9">
    <w:abstractNumId w:val="42"/>
  </w:num>
  <w:num w:numId="10">
    <w:abstractNumId w:val="2"/>
  </w:num>
  <w:num w:numId="11">
    <w:abstractNumId w:val="14"/>
  </w:num>
  <w:num w:numId="12">
    <w:abstractNumId w:val="1"/>
  </w:num>
  <w:num w:numId="13">
    <w:abstractNumId w:val="51"/>
  </w:num>
  <w:num w:numId="14">
    <w:abstractNumId w:val="45"/>
  </w:num>
  <w:num w:numId="15">
    <w:abstractNumId w:val="9"/>
  </w:num>
  <w:num w:numId="16">
    <w:abstractNumId w:val="0"/>
  </w:num>
  <w:num w:numId="17">
    <w:abstractNumId w:val="20"/>
  </w:num>
  <w:num w:numId="18">
    <w:abstractNumId w:val="29"/>
  </w:num>
  <w:num w:numId="19">
    <w:abstractNumId w:val="28"/>
  </w:num>
  <w:num w:numId="20">
    <w:abstractNumId w:val="30"/>
  </w:num>
  <w:num w:numId="21">
    <w:abstractNumId w:val="21"/>
  </w:num>
  <w:num w:numId="22">
    <w:abstractNumId w:val="21"/>
  </w:num>
  <w:num w:numId="23">
    <w:abstractNumId w:val="7"/>
  </w:num>
  <w:num w:numId="24">
    <w:abstractNumId w:val="43"/>
  </w:num>
  <w:num w:numId="25">
    <w:abstractNumId w:val="31"/>
  </w:num>
  <w:num w:numId="26">
    <w:abstractNumId w:val="5"/>
  </w:num>
  <w:num w:numId="27">
    <w:abstractNumId w:val="15"/>
  </w:num>
  <w:num w:numId="28">
    <w:abstractNumId w:val="10"/>
  </w:num>
  <w:num w:numId="29">
    <w:abstractNumId w:val="22"/>
  </w:num>
  <w:num w:numId="30">
    <w:abstractNumId w:val="12"/>
  </w:num>
  <w:num w:numId="31">
    <w:abstractNumId w:val="6"/>
  </w:num>
  <w:num w:numId="32">
    <w:abstractNumId w:val="49"/>
  </w:num>
  <w:num w:numId="33">
    <w:abstractNumId w:val="26"/>
  </w:num>
  <w:num w:numId="34">
    <w:abstractNumId w:val="33"/>
  </w:num>
  <w:num w:numId="35">
    <w:abstractNumId w:val="8"/>
  </w:num>
  <w:num w:numId="36">
    <w:abstractNumId w:val="19"/>
  </w:num>
  <w:num w:numId="37">
    <w:abstractNumId w:val="54"/>
  </w:num>
  <w:num w:numId="38">
    <w:abstractNumId w:val="27"/>
  </w:num>
  <w:num w:numId="39">
    <w:abstractNumId w:val="48"/>
  </w:num>
  <w:num w:numId="40">
    <w:abstractNumId w:val="37"/>
  </w:num>
  <w:num w:numId="41">
    <w:abstractNumId w:val="47"/>
  </w:num>
  <w:num w:numId="42">
    <w:abstractNumId w:val="16"/>
  </w:num>
  <w:num w:numId="43">
    <w:abstractNumId w:val="25"/>
  </w:num>
  <w:num w:numId="44">
    <w:abstractNumId w:val="32"/>
  </w:num>
  <w:num w:numId="45">
    <w:abstractNumId w:val="40"/>
  </w:num>
  <w:num w:numId="46">
    <w:abstractNumId w:val="39"/>
  </w:num>
  <w:num w:numId="47">
    <w:abstractNumId w:val="34"/>
  </w:num>
  <w:num w:numId="48">
    <w:abstractNumId w:val="18"/>
  </w:num>
  <w:num w:numId="49">
    <w:abstractNumId w:val="24"/>
  </w:num>
  <w:num w:numId="50">
    <w:abstractNumId w:val="4"/>
  </w:num>
  <w:num w:numId="51">
    <w:abstractNumId w:val="11"/>
  </w:num>
  <w:num w:numId="52">
    <w:abstractNumId w:val="38"/>
  </w:num>
  <w:num w:numId="53">
    <w:abstractNumId w:val="3"/>
  </w:num>
  <w:num w:numId="54">
    <w:abstractNumId w:val="44"/>
  </w:num>
  <w:num w:numId="55">
    <w:abstractNumId w:val="9"/>
  </w:num>
  <w:num w:numId="56">
    <w:abstractNumId w:val="35"/>
  </w:num>
  <w:num w:numId="57">
    <w:abstractNumId w:val="50"/>
  </w:num>
  <w:num w:numId="58">
    <w:abstractNumId w:val="36"/>
  </w:num>
  <w:num w:numId="59">
    <w:abstractNumId w:val="45"/>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5B"/>
    <w:rsid w:val="00002A56"/>
    <w:rsid w:val="000251E6"/>
    <w:rsid w:val="00033023"/>
    <w:rsid w:val="000407FA"/>
    <w:rsid w:val="00042FF0"/>
    <w:rsid w:val="00065045"/>
    <w:rsid w:val="00077FFB"/>
    <w:rsid w:val="00097CE1"/>
    <w:rsid w:val="000B5E5B"/>
    <w:rsid w:val="000C3C9D"/>
    <w:rsid w:val="000C7848"/>
    <w:rsid w:val="000D3A15"/>
    <w:rsid w:val="000F34EC"/>
    <w:rsid w:val="000F3B0D"/>
    <w:rsid w:val="000F59B1"/>
    <w:rsid w:val="000F6D96"/>
    <w:rsid w:val="00100E5D"/>
    <w:rsid w:val="001204C2"/>
    <w:rsid w:val="001218BB"/>
    <w:rsid w:val="00122C76"/>
    <w:rsid w:val="00127888"/>
    <w:rsid w:val="0013142C"/>
    <w:rsid w:val="00135244"/>
    <w:rsid w:val="001434AB"/>
    <w:rsid w:val="00145133"/>
    <w:rsid w:val="00146386"/>
    <w:rsid w:val="001759C2"/>
    <w:rsid w:val="00181FC7"/>
    <w:rsid w:val="00194DB8"/>
    <w:rsid w:val="001A3997"/>
    <w:rsid w:val="001A4660"/>
    <w:rsid w:val="001B355B"/>
    <w:rsid w:val="001B6A3F"/>
    <w:rsid w:val="001C79F9"/>
    <w:rsid w:val="001C7CE5"/>
    <w:rsid w:val="001D0726"/>
    <w:rsid w:val="001D1E55"/>
    <w:rsid w:val="001D31C0"/>
    <w:rsid w:val="001D6DFC"/>
    <w:rsid w:val="001E0252"/>
    <w:rsid w:val="001E2AD3"/>
    <w:rsid w:val="001E34B9"/>
    <w:rsid w:val="001E3C85"/>
    <w:rsid w:val="001F0583"/>
    <w:rsid w:val="002048A1"/>
    <w:rsid w:val="00205636"/>
    <w:rsid w:val="0020616A"/>
    <w:rsid w:val="002079F9"/>
    <w:rsid w:val="00210662"/>
    <w:rsid w:val="0021606E"/>
    <w:rsid w:val="00217871"/>
    <w:rsid w:val="002227D7"/>
    <w:rsid w:val="00226371"/>
    <w:rsid w:val="00232005"/>
    <w:rsid w:val="00234A95"/>
    <w:rsid w:val="00243C4C"/>
    <w:rsid w:val="002556AF"/>
    <w:rsid w:val="00257D9B"/>
    <w:rsid w:val="00264878"/>
    <w:rsid w:val="00265A5C"/>
    <w:rsid w:val="00280645"/>
    <w:rsid w:val="0028691B"/>
    <w:rsid w:val="002A5B12"/>
    <w:rsid w:val="002B35BA"/>
    <w:rsid w:val="002B3C10"/>
    <w:rsid w:val="002C29A7"/>
    <w:rsid w:val="002C4BA9"/>
    <w:rsid w:val="002D1F23"/>
    <w:rsid w:val="002E047C"/>
    <w:rsid w:val="002E2691"/>
    <w:rsid w:val="002F6E18"/>
    <w:rsid w:val="0030160B"/>
    <w:rsid w:val="00301DC7"/>
    <w:rsid w:val="0030541F"/>
    <w:rsid w:val="00307289"/>
    <w:rsid w:val="0031779B"/>
    <w:rsid w:val="003178D4"/>
    <w:rsid w:val="0032156F"/>
    <w:rsid w:val="003249DB"/>
    <w:rsid w:val="00333A36"/>
    <w:rsid w:val="0034127A"/>
    <w:rsid w:val="003452E0"/>
    <w:rsid w:val="0034604A"/>
    <w:rsid w:val="00357027"/>
    <w:rsid w:val="00384704"/>
    <w:rsid w:val="00387543"/>
    <w:rsid w:val="0039000D"/>
    <w:rsid w:val="00393B0E"/>
    <w:rsid w:val="003A0B56"/>
    <w:rsid w:val="003A66B2"/>
    <w:rsid w:val="003B1792"/>
    <w:rsid w:val="003B2765"/>
    <w:rsid w:val="003B31D5"/>
    <w:rsid w:val="003B4350"/>
    <w:rsid w:val="003B6248"/>
    <w:rsid w:val="003B6B8B"/>
    <w:rsid w:val="003C11F6"/>
    <w:rsid w:val="003C56BF"/>
    <w:rsid w:val="003D1313"/>
    <w:rsid w:val="003D4632"/>
    <w:rsid w:val="003F109A"/>
    <w:rsid w:val="003F26CB"/>
    <w:rsid w:val="003F67F0"/>
    <w:rsid w:val="003F680A"/>
    <w:rsid w:val="00414612"/>
    <w:rsid w:val="004316C0"/>
    <w:rsid w:val="004346BE"/>
    <w:rsid w:val="0044707D"/>
    <w:rsid w:val="00451DE8"/>
    <w:rsid w:val="00454425"/>
    <w:rsid w:val="00454E77"/>
    <w:rsid w:val="0045503A"/>
    <w:rsid w:val="00456572"/>
    <w:rsid w:val="0046234F"/>
    <w:rsid w:val="00470B7A"/>
    <w:rsid w:val="00482028"/>
    <w:rsid w:val="004B5105"/>
    <w:rsid w:val="004B619D"/>
    <w:rsid w:val="004B61AB"/>
    <w:rsid w:val="004C1CF9"/>
    <w:rsid w:val="004D32D3"/>
    <w:rsid w:val="004D431C"/>
    <w:rsid w:val="004D4789"/>
    <w:rsid w:val="004E432C"/>
    <w:rsid w:val="004F367F"/>
    <w:rsid w:val="00504230"/>
    <w:rsid w:val="00510F87"/>
    <w:rsid w:val="00516ECF"/>
    <w:rsid w:val="00530015"/>
    <w:rsid w:val="00531813"/>
    <w:rsid w:val="00534913"/>
    <w:rsid w:val="00536FC1"/>
    <w:rsid w:val="0054160C"/>
    <w:rsid w:val="0055224A"/>
    <w:rsid w:val="00552CA1"/>
    <w:rsid w:val="005541FF"/>
    <w:rsid w:val="00560EC7"/>
    <w:rsid w:val="005637D4"/>
    <w:rsid w:val="00563E46"/>
    <w:rsid w:val="005705C8"/>
    <w:rsid w:val="00582F06"/>
    <w:rsid w:val="0059594D"/>
    <w:rsid w:val="00596282"/>
    <w:rsid w:val="005A0250"/>
    <w:rsid w:val="005A7128"/>
    <w:rsid w:val="005B06DE"/>
    <w:rsid w:val="005B4617"/>
    <w:rsid w:val="005C3544"/>
    <w:rsid w:val="005D5187"/>
    <w:rsid w:val="005F0AE4"/>
    <w:rsid w:val="005F65C2"/>
    <w:rsid w:val="00602FA6"/>
    <w:rsid w:val="00604948"/>
    <w:rsid w:val="00607E37"/>
    <w:rsid w:val="00610BCA"/>
    <w:rsid w:val="00614E01"/>
    <w:rsid w:val="0062136B"/>
    <w:rsid w:val="006232A4"/>
    <w:rsid w:val="00633596"/>
    <w:rsid w:val="0063449C"/>
    <w:rsid w:val="00635B76"/>
    <w:rsid w:val="00640D50"/>
    <w:rsid w:val="006426B1"/>
    <w:rsid w:val="006551AC"/>
    <w:rsid w:val="006627DC"/>
    <w:rsid w:val="00672F2C"/>
    <w:rsid w:val="00673FF9"/>
    <w:rsid w:val="00676165"/>
    <w:rsid w:val="006820BD"/>
    <w:rsid w:val="00690B38"/>
    <w:rsid w:val="0069354A"/>
    <w:rsid w:val="006A21D0"/>
    <w:rsid w:val="006A5CE8"/>
    <w:rsid w:val="006B1615"/>
    <w:rsid w:val="006B16D2"/>
    <w:rsid w:val="006B2136"/>
    <w:rsid w:val="006B2B0B"/>
    <w:rsid w:val="006B3EB9"/>
    <w:rsid w:val="006C01EA"/>
    <w:rsid w:val="006C1A64"/>
    <w:rsid w:val="006C4B33"/>
    <w:rsid w:val="006D3CB6"/>
    <w:rsid w:val="006D3FEF"/>
    <w:rsid w:val="006E2FA0"/>
    <w:rsid w:val="006E784C"/>
    <w:rsid w:val="006F01A2"/>
    <w:rsid w:val="006F1FDA"/>
    <w:rsid w:val="00704B1D"/>
    <w:rsid w:val="00713434"/>
    <w:rsid w:val="00717310"/>
    <w:rsid w:val="0073035F"/>
    <w:rsid w:val="00736534"/>
    <w:rsid w:val="007375B9"/>
    <w:rsid w:val="00742131"/>
    <w:rsid w:val="007438EC"/>
    <w:rsid w:val="007548BD"/>
    <w:rsid w:val="0075658D"/>
    <w:rsid w:val="007577CC"/>
    <w:rsid w:val="007650B9"/>
    <w:rsid w:val="00786763"/>
    <w:rsid w:val="007A46A7"/>
    <w:rsid w:val="007A7156"/>
    <w:rsid w:val="007B4C78"/>
    <w:rsid w:val="007B78AE"/>
    <w:rsid w:val="007C4314"/>
    <w:rsid w:val="007C5B13"/>
    <w:rsid w:val="007C6FD6"/>
    <w:rsid w:val="007D0F70"/>
    <w:rsid w:val="007D26D9"/>
    <w:rsid w:val="007D4D3F"/>
    <w:rsid w:val="007D5DBA"/>
    <w:rsid w:val="007E55DD"/>
    <w:rsid w:val="007E690E"/>
    <w:rsid w:val="007E7533"/>
    <w:rsid w:val="007F72E7"/>
    <w:rsid w:val="008010AB"/>
    <w:rsid w:val="00801C2C"/>
    <w:rsid w:val="00805ACA"/>
    <w:rsid w:val="0083040E"/>
    <w:rsid w:val="008311EC"/>
    <w:rsid w:val="00831A6F"/>
    <w:rsid w:val="00844C9C"/>
    <w:rsid w:val="00845139"/>
    <w:rsid w:val="00851606"/>
    <w:rsid w:val="00852F7D"/>
    <w:rsid w:val="008556DA"/>
    <w:rsid w:val="008572F5"/>
    <w:rsid w:val="00857680"/>
    <w:rsid w:val="00870888"/>
    <w:rsid w:val="00870991"/>
    <w:rsid w:val="00872536"/>
    <w:rsid w:val="008728A0"/>
    <w:rsid w:val="008857ED"/>
    <w:rsid w:val="00896904"/>
    <w:rsid w:val="008A6697"/>
    <w:rsid w:val="008B41DD"/>
    <w:rsid w:val="008B6CE2"/>
    <w:rsid w:val="008C1EE6"/>
    <w:rsid w:val="008D2BA4"/>
    <w:rsid w:val="008D66B0"/>
    <w:rsid w:val="008F2266"/>
    <w:rsid w:val="008F30FF"/>
    <w:rsid w:val="008F4217"/>
    <w:rsid w:val="0090427F"/>
    <w:rsid w:val="00907A99"/>
    <w:rsid w:val="009247BF"/>
    <w:rsid w:val="00924C83"/>
    <w:rsid w:val="00925D23"/>
    <w:rsid w:val="0093416F"/>
    <w:rsid w:val="00941F16"/>
    <w:rsid w:val="00950867"/>
    <w:rsid w:val="00963B5D"/>
    <w:rsid w:val="009646DA"/>
    <w:rsid w:val="00980145"/>
    <w:rsid w:val="0098055F"/>
    <w:rsid w:val="009833E6"/>
    <w:rsid w:val="009A2332"/>
    <w:rsid w:val="009A602A"/>
    <w:rsid w:val="009B587D"/>
    <w:rsid w:val="009C68E7"/>
    <w:rsid w:val="009C6921"/>
    <w:rsid w:val="009C6F55"/>
    <w:rsid w:val="009D2FE6"/>
    <w:rsid w:val="00A03944"/>
    <w:rsid w:val="00A222FE"/>
    <w:rsid w:val="00A2541A"/>
    <w:rsid w:val="00A26E14"/>
    <w:rsid w:val="00A3329A"/>
    <w:rsid w:val="00A431F0"/>
    <w:rsid w:val="00A435EE"/>
    <w:rsid w:val="00A448A0"/>
    <w:rsid w:val="00A44E03"/>
    <w:rsid w:val="00A45626"/>
    <w:rsid w:val="00A47579"/>
    <w:rsid w:val="00A51AD1"/>
    <w:rsid w:val="00A60A4C"/>
    <w:rsid w:val="00A679B9"/>
    <w:rsid w:val="00A75038"/>
    <w:rsid w:val="00A7515C"/>
    <w:rsid w:val="00A75441"/>
    <w:rsid w:val="00A77D99"/>
    <w:rsid w:val="00A85E03"/>
    <w:rsid w:val="00AA3818"/>
    <w:rsid w:val="00AB0CB9"/>
    <w:rsid w:val="00AB164D"/>
    <w:rsid w:val="00AB3745"/>
    <w:rsid w:val="00AB47BD"/>
    <w:rsid w:val="00AC6B8C"/>
    <w:rsid w:val="00AD39ED"/>
    <w:rsid w:val="00AD5F93"/>
    <w:rsid w:val="00AE1220"/>
    <w:rsid w:val="00AE7646"/>
    <w:rsid w:val="00AF2644"/>
    <w:rsid w:val="00AF2F9E"/>
    <w:rsid w:val="00AF7168"/>
    <w:rsid w:val="00AF7BD7"/>
    <w:rsid w:val="00B00FC1"/>
    <w:rsid w:val="00B01EDC"/>
    <w:rsid w:val="00B059C8"/>
    <w:rsid w:val="00B16C9C"/>
    <w:rsid w:val="00B20133"/>
    <w:rsid w:val="00B21406"/>
    <w:rsid w:val="00B2303D"/>
    <w:rsid w:val="00B30685"/>
    <w:rsid w:val="00B312C3"/>
    <w:rsid w:val="00B35C70"/>
    <w:rsid w:val="00B50A5B"/>
    <w:rsid w:val="00B569C8"/>
    <w:rsid w:val="00B67458"/>
    <w:rsid w:val="00B80270"/>
    <w:rsid w:val="00B82225"/>
    <w:rsid w:val="00B84057"/>
    <w:rsid w:val="00B86E78"/>
    <w:rsid w:val="00BB02A1"/>
    <w:rsid w:val="00BB08E7"/>
    <w:rsid w:val="00BC323C"/>
    <w:rsid w:val="00BC3732"/>
    <w:rsid w:val="00BC5E2B"/>
    <w:rsid w:val="00BD2AEB"/>
    <w:rsid w:val="00BD3B58"/>
    <w:rsid w:val="00BE14FC"/>
    <w:rsid w:val="00BE1613"/>
    <w:rsid w:val="00BE4996"/>
    <w:rsid w:val="00BE5F70"/>
    <w:rsid w:val="00BF01EA"/>
    <w:rsid w:val="00BF0BB7"/>
    <w:rsid w:val="00C01FCC"/>
    <w:rsid w:val="00C03D49"/>
    <w:rsid w:val="00C126D5"/>
    <w:rsid w:val="00C158E2"/>
    <w:rsid w:val="00C241D0"/>
    <w:rsid w:val="00C26504"/>
    <w:rsid w:val="00C378FC"/>
    <w:rsid w:val="00C40B3C"/>
    <w:rsid w:val="00C4153E"/>
    <w:rsid w:val="00C42CA9"/>
    <w:rsid w:val="00C42E5B"/>
    <w:rsid w:val="00C439D4"/>
    <w:rsid w:val="00C43E63"/>
    <w:rsid w:val="00C45170"/>
    <w:rsid w:val="00C55F8B"/>
    <w:rsid w:val="00C65FD2"/>
    <w:rsid w:val="00C6644C"/>
    <w:rsid w:val="00C74BDD"/>
    <w:rsid w:val="00C81B24"/>
    <w:rsid w:val="00C90661"/>
    <w:rsid w:val="00C95BEE"/>
    <w:rsid w:val="00CA1399"/>
    <w:rsid w:val="00CD05DB"/>
    <w:rsid w:val="00CE0EA8"/>
    <w:rsid w:val="00CE1FA5"/>
    <w:rsid w:val="00CE78CD"/>
    <w:rsid w:val="00CE7FCE"/>
    <w:rsid w:val="00CF3804"/>
    <w:rsid w:val="00D011C7"/>
    <w:rsid w:val="00D01D29"/>
    <w:rsid w:val="00D139AE"/>
    <w:rsid w:val="00D15860"/>
    <w:rsid w:val="00D24F7B"/>
    <w:rsid w:val="00D27D22"/>
    <w:rsid w:val="00D30A6F"/>
    <w:rsid w:val="00D320A6"/>
    <w:rsid w:val="00D34720"/>
    <w:rsid w:val="00D37BDE"/>
    <w:rsid w:val="00D41481"/>
    <w:rsid w:val="00D47B1A"/>
    <w:rsid w:val="00D5482F"/>
    <w:rsid w:val="00D703D4"/>
    <w:rsid w:val="00D73F96"/>
    <w:rsid w:val="00D8465D"/>
    <w:rsid w:val="00D87178"/>
    <w:rsid w:val="00D94B92"/>
    <w:rsid w:val="00D954EC"/>
    <w:rsid w:val="00D96C09"/>
    <w:rsid w:val="00DA3158"/>
    <w:rsid w:val="00DA5828"/>
    <w:rsid w:val="00DB4F02"/>
    <w:rsid w:val="00DC1CEA"/>
    <w:rsid w:val="00DC591B"/>
    <w:rsid w:val="00DD7A8F"/>
    <w:rsid w:val="00DE5933"/>
    <w:rsid w:val="00DF08C7"/>
    <w:rsid w:val="00DF229A"/>
    <w:rsid w:val="00DF3AC3"/>
    <w:rsid w:val="00DF5DBD"/>
    <w:rsid w:val="00DF672A"/>
    <w:rsid w:val="00E00BCD"/>
    <w:rsid w:val="00E014D5"/>
    <w:rsid w:val="00E22115"/>
    <w:rsid w:val="00E27CA1"/>
    <w:rsid w:val="00E306D3"/>
    <w:rsid w:val="00E41FA4"/>
    <w:rsid w:val="00E5056C"/>
    <w:rsid w:val="00E660CC"/>
    <w:rsid w:val="00E667F9"/>
    <w:rsid w:val="00E83689"/>
    <w:rsid w:val="00E85CCE"/>
    <w:rsid w:val="00E875EB"/>
    <w:rsid w:val="00E91C79"/>
    <w:rsid w:val="00E92098"/>
    <w:rsid w:val="00E95D2E"/>
    <w:rsid w:val="00EA0D3D"/>
    <w:rsid w:val="00EA1237"/>
    <w:rsid w:val="00EA5EC5"/>
    <w:rsid w:val="00EA5FC6"/>
    <w:rsid w:val="00EC1AC0"/>
    <w:rsid w:val="00EC1B89"/>
    <w:rsid w:val="00ED6253"/>
    <w:rsid w:val="00EE39F8"/>
    <w:rsid w:val="00EF0F59"/>
    <w:rsid w:val="00EF2EA1"/>
    <w:rsid w:val="00F01791"/>
    <w:rsid w:val="00F065B5"/>
    <w:rsid w:val="00F10BC5"/>
    <w:rsid w:val="00F11CF8"/>
    <w:rsid w:val="00F23E9B"/>
    <w:rsid w:val="00F24EBB"/>
    <w:rsid w:val="00F36BC5"/>
    <w:rsid w:val="00F418CF"/>
    <w:rsid w:val="00F4494B"/>
    <w:rsid w:val="00F57C53"/>
    <w:rsid w:val="00F63A27"/>
    <w:rsid w:val="00F67D98"/>
    <w:rsid w:val="00F71AA8"/>
    <w:rsid w:val="00F72554"/>
    <w:rsid w:val="00F8122D"/>
    <w:rsid w:val="00F96556"/>
    <w:rsid w:val="00FA3932"/>
    <w:rsid w:val="00FA652E"/>
    <w:rsid w:val="00FB7D5D"/>
    <w:rsid w:val="00FC1B82"/>
    <w:rsid w:val="00FC1F55"/>
    <w:rsid w:val="00FC709D"/>
    <w:rsid w:val="00FD05AD"/>
    <w:rsid w:val="00FD548F"/>
    <w:rsid w:val="00FD5A71"/>
    <w:rsid w:val="00FE527A"/>
    <w:rsid w:val="00FE5CC6"/>
    <w:rsid w:val="00FF0312"/>
    <w:rsid w:val="00FF2C1D"/>
    <w:rsid w:val="00FF3634"/>
    <w:rsid w:val="0D3D5278"/>
    <w:rsid w:val="0F3724B7"/>
    <w:rsid w:val="14AC184B"/>
    <w:rsid w:val="1727AC4C"/>
    <w:rsid w:val="201311A0"/>
    <w:rsid w:val="22EF677B"/>
    <w:rsid w:val="261270AE"/>
    <w:rsid w:val="2872D392"/>
    <w:rsid w:val="310A596D"/>
    <w:rsid w:val="3867B063"/>
    <w:rsid w:val="44353B64"/>
    <w:rsid w:val="528251A8"/>
    <w:rsid w:val="53F11AAD"/>
    <w:rsid w:val="5B9179C7"/>
    <w:rsid w:val="6613CBB6"/>
    <w:rsid w:val="68E29C76"/>
    <w:rsid w:val="6A01D0CD"/>
    <w:rsid w:val="6E66088D"/>
    <w:rsid w:val="7E78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BA4E"/>
  <w15:chartTrackingRefBased/>
  <w15:docId w15:val="{8172F416-2252-4A36-BF77-003AADF9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hidden/>
    <w:rsid w:val="00516ECF"/>
    <w:pPr>
      <w:spacing w:after="0" w:line="240" w:lineRule="auto"/>
    </w:pPr>
    <w:rPr>
      <w:rFonts w:ascii="Arial" w:eastAsia="Times New Roman" w:hAnsi="Arial" w:cs="Times New Roman"/>
      <w:sz w:val="20"/>
      <w:szCs w:val="24"/>
    </w:rPr>
  </w:style>
  <w:style w:type="paragraph" w:styleId="Heading1">
    <w:name w:val="heading 1"/>
    <w:basedOn w:val="Normal"/>
    <w:next w:val="BodyText"/>
    <w:link w:val="Heading1Char"/>
    <w:uiPriority w:val="9"/>
    <w:qFormat/>
    <w:rsid w:val="00516ECF"/>
    <w:pPr>
      <w:keepNext/>
      <w:keepLines/>
      <w:spacing w:after="480"/>
      <w:outlineLvl w:val="0"/>
    </w:pPr>
    <w:rPr>
      <w:rFonts w:cs="Arial"/>
      <w:bCs/>
      <w:color w:val="E65032"/>
      <w:kern w:val="32"/>
      <w:sz w:val="48"/>
      <w:szCs w:val="32"/>
    </w:rPr>
  </w:style>
  <w:style w:type="paragraph" w:styleId="Heading2">
    <w:name w:val="heading 2"/>
    <w:basedOn w:val="Normal"/>
    <w:next w:val="Normal"/>
    <w:link w:val="Heading2Char"/>
    <w:uiPriority w:val="9"/>
    <w:unhideWhenUsed/>
    <w:qFormat/>
    <w:rsid w:val="00516E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RFP 4,WMHeading 4"/>
    <w:basedOn w:val="Normal"/>
    <w:link w:val="Heading4Char"/>
    <w:uiPriority w:val="9"/>
    <w:qFormat/>
    <w:rsid w:val="00516ECF"/>
    <w:pPr>
      <w:numPr>
        <w:ilvl w:val="3"/>
        <w:numId w:val="1"/>
      </w:numPr>
      <w:spacing w:before="360" w:after="360"/>
      <w:outlineLvl w:val="3"/>
    </w:pPr>
    <w:rPr>
      <w:bCs/>
      <w:szCs w:val="28"/>
    </w:rPr>
  </w:style>
  <w:style w:type="paragraph" w:styleId="Heading5">
    <w:name w:val="heading 5"/>
    <w:basedOn w:val="Normal"/>
    <w:link w:val="Heading5Char"/>
    <w:uiPriority w:val="9"/>
    <w:qFormat/>
    <w:rsid w:val="00516ECF"/>
    <w:pPr>
      <w:numPr>
        <w:ilvl w:val="4"/>
        <w:numId w:val="1"/>
      </w:numPr>
      <w:spacing w:before="360" w:after="360"/>
      <w:outlineLvl w:val="4"/>
    </w:pPr>
    <w:rPr>
      <w:bCs/>
      <w:iCs/>
      <w:szCs w:val="26"/>
    </w:rPr>
  </w:style>
  <w:style w:type="paragraph" w:styleId="Heading6">
    <w:name w:val="heading 6"/>
    <w:aliases w:val="Legal Level 1."/>
    <w:basedOn w:val="Normal"/>
    <w:link w:val="Heading6Char"/>
    <w:uiPriority w:val="9"/>
    <w:qFormat/>
    <w:rsid w:val="00516ECF"/>
    <w:pPr>
      <w:numPr>
        <w:ilvl w:val="5"/>
        <w:numId w:val="1"/>
      </w:numPr>
      <w:spacing w:before="360" w:after="360"/>
      <w:outlineLvl w:val="5"/>
    </w:pPr>
    <w:rPr>
      <w:bCs/>
      <w:szCs w:val="22"/>
    </w:rPr>
  </w:style>
  <w:style w:type="paragraph" w:styleId="Heading7">
    <w:name w:val="heading 7"/>
    <w:basedOn w:val="Heading1"/>
    <w:link w:val="Heading7Char"/>
    <w:uiPriority w:val="9"/>
    <w:qFormat/>
    <w:rsid w:val="00516ECF"/>
    <w:pPr>
      <w:keepNext w:val="0"/>
      <w:keepLines w:val="0"/>
      <w:numPr>
        <w:ilvl w:val="6"/>
      </w:numPr>
      <w:spacing w:before="360" w:after="360"/>
      <w:outlineLvl w:val="6"/>
    </w:pPr>
    <w:rPr>
      <w:color w:val="auto"/>
      <w:sz w:val="20"/>
    </w:rPr>
  </w:style>
  <w:style w:type="paragraph" w:styleId="Heading8">
    <w:name w:val="heading 8"/>
    <w:basedOn w:val="Heading1"/>
    <w:next w:val="BodyText"/>
    <w:link w:val="Heading8Char"/>
    <w:uiPriority w:val="9"/>
    <w:qFormat/>
    <w:rsid w:val="00516ECF"/>
    <w:pPr>
      <w:numPr>
        <w:ilvl w:val="7"/>
      </w:numPr>
      <w:outlineLvl w:val="7"/>
    </w:pPr>
    <w:rPr>
      <w:iCs/>
    </w:rPr>
  </w:style>
  <w:style w:type="paragraph" w:styleId="Heading9">
    <w:name w:val="heading 9"/>
    <w:basedOn w:val="Heading2"/>
    <w:next w:val="BodyText"/>
    <w:link w:val="Heading9Char"/>
    <w:rsid w:val="001204C2"/>
    <w:pPr>
      <w:tabs>
        <w:tab w:val="num" w:pos="680"/>
      </w:tabs>
      <w:spacing w:before="240" w:after="240"/>
      <w:ind w:left="680" w:hanging="680"/>
      <w:outlineLvl w:val="8"/>
    </w:pPr>
    <w:rPr>
      <w:rFonts w:eastAsia="Times New Roman" w:cs="Arial"/>
      <w:b/>
      <w:iCs/>
      <w:color w:val="auto"/>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ECF"/>
    <w:rPr>
      <w:rFonts w:ascii="Arial" w:eastAsia="Times New Roman" w:hAnsi="Arial" w:cs="Arial"/>
      <w:bCs/>
      <w:color w:val="E65032"/>
      <w:kern w:val="32"/>
      <w:sz w:val="48"/>
      <w:szCs w:val="32"/>
    </w:rPr>
  </w:style>
  <w:style w:type="character" w:customStyle="1" w:styleId="Heading4Char">
    <w:name w:val="Heading 4 Char"/>
    <w:aliases w:val="RFP 4 Char,WMHeading 4 Char"/>
    <w:basedOn w:val="DefaultParagraphFont"/>
    <w:link w:val="Heading4"/>
    <w:uiPriority w:val="6"/>
    <w:rsid w:val="00516ECF"/>
    <w:rPr>
      <w:rFonts w:ascii="Arial" w:eastAsia="Times New Roman" w:hAnsi="Arial" w:cs="Times New Roman"/>
      <w:bCs/>
      <w:sz w:val="20"/>
      <w:szCs w:val="28"/>
    </w:rPr>
  </w:style>
  <w:style w:type="character" w:customStyle="1" w:styleId="Heading5Char">
    <w:name w:val="Heading 5 Char"/>
    <w:basedOn w:val="DefaultParagraphFont"/>
    <w:link w:val="Heading5"/>
    <w:rsid w:val="00516ECF"/>
    <w:rPr>
      <w:rFonts w:ascii="Arial" w:eastAsia="Times New Roman" w:hAnsi="Arial" w:cs="Times New Roman"/>
      <w:bCs/>
      <w:iCs/>
      <w:sz w:val="20"/>
      <w:szCs w:val="26"/>
    </w:rPr>
  </w:style>
  <w:style w:type="character" w:customStyle="1" w:styleId="Heading6Char">
    <w:name w:val="Heading 6 Char"/>
    <w:aliases w:val="Legal Level 1. Char"/>
    <w:basedOn w:val="DefaultParagraphFont"/>
    <w:link w:val="Heading6"/>
    <w:rsid w:val="00516ECF"/>
    <w:rPr>
      <w:rFonts w:ascii="Arial" w:eastAsia="Times New Roman" w:hAnsi="Arial" w:cs="Times New Roman"/>
      <w:bCs/>
      <w:sz w:val="20"/>
    </w:rPr>
  </w:style>
  <w:style w:type="character" w:customStyle="1" w:styleId="Heading7Char">
    <w:name w:val="Heading 7 Char"/>
    <w:basedOn w:val="DefaultParagraphFont"/>
    <w:link w:val="Heading7"/>
    <w:rsid w:val="00516ECF"/>
    <w:rPr>
      <w:rFonts w:ascii="Arial" w:eastAsia="Times New Roman" w:hAnsi="Arial" w:cs="Arial"/>
      <w:bCs/>
      <w:kern w:val="32"/>
      <w:sz w:val="20"/>
      <w:szCs w:val="32"/>
    </w:rPr>
  </w:style>
  <w:style w:type="character" w:customStyle="1" w:styleId="Heading8Char">
    <w:name w:val="Heading 8 Char"/>
    <w:basedOn w:val="DefaultParagraphFont"/>
    <w:link w:val="Heading8"/>
    <w:rsid w:val="00516ECF"/>
    <w:rPr>
      <w:rFonts w:ascii="Arial" w:eastAsia="Times New Roman" w:hAnsi="Arial" w:cs="Arial"/>
      <w:bCs/>
      <w:iCs/>
      <w:color w:val="E65032"/>
      <w:kern w:val="32"/>
      <w:sz w:val="48"/>
      <w:szCs w:val="32"/>
    </w:rPr>
  </w:style>
  <w:style w:type="character" w:styleId="CommentReference">
    <w:name w:val="annotation reference"/>
    <w:uiPriority w:val="99"/>
    <w:rsid w:val="00516ECF"/>
    <w:rPr>
      <w:rFonts w:cs="Times New Roman"/>
      <w:sz w:val="16"/>
      <w:szCs w:val="16"/>
    </w:rPr>
  </w:style>
  <w:style w:type="paragraph" w:styleId="CommentText">
    <w:name w:val="annotation text"/>
    <w:basedOn w:val="Normal"/>
    <w:link w:val="CommentTextChar"/>
    <w:uiPriority w:val="99"/>
    <w:rsid w:val="00516ECF"/>
  </w:style>
  <w:style w:type="character" w:customStyle="1" w:styleId="CommentTextChar">
    <w:name w:val="Comment Text Char"/>
    <w:basedOn w:val="DefaultParagraphFont"/>
    <w:link w:val="CommentText"/>
    <w:uiPriority w:val="99"/>
    <w:rsid w:val="00516ECF"/>
    <w:rPr>
      <w:rFonts w:ascii="Arial" w:eastAsia="Times New Roman" w:hAnsi="Arial" w:cs="Times New Roman"/>
      <w:sz w:val="20"/>
      <w:szCs w:val="24"/>
    </w:rPr>
  </w:style>
  <w:style w:type="paragraph" w:styleId="BodyText">
    <w:name w:val="Body Text"/>
    <w:basedOn w:val="Normal"/>
    <w:link w:val="BodyTextChar"/>
    <w:uiPriority w:val="99"/>
    <w:unhideWhenUsed/>
    <w:qFormat/>
    <w:rsid w:val="00516ECF"/>
    <w:pPr>
      <w:spacing w:after="120"/>
    </w:pPr>
  </w:style>
  <w:style w:type="character" w:customStyle="1" w:styleId="BodyTextChar">
    <w:name w:val="Body Text Char"/>
    <w:basedOn w:val="DefaultParagraphFont"/>
    <w:link w:val="BodyText"/>
    <w:uiPriority w:val="99"/>
    <w:rsid w:val="00516ECF"/>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16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C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16ECF"/>
    <w:rPr>
      <w:b/>
      <w:bCs/>
      <w:szCs w:val="20"/>
    </w:rPr>
  </w:style>
  <w:style w:type="character" w:customStyle="1" w:styleId="CommentSubjectChar">
    <w:name w:val="Comment Subject Char"/>
    <w:basedOn w:val="CommentTextChar"/>
    <w:link w:val="CommentSubject"/>
    <w:uiPriority w:val="99"/>
    <w:semiHidden/>
    <w:rsid w:val="00516ECF"/>
    <w:rPr>
      <w:rFonts w:ascii="Arial" w:eastAsia="Times New Roman" w:hAnsi="Arial" w:cs="Times New Roman"/>
      <w:b/>
      <w:bCs/>
      <w:sz w:val="20"/>
      <w:szCs w:val="20"/>
    </w:rPr>
  </w:style>
  <w:style w:type="character" w:styleId="Hyperlink">
    <w:name w:val="Hyperlink"/>
    <w:basedOn w:val="DefaultParagraphFont"/>
    <w:uiPriority w:val="99"/>
    <w:rsid w:val="00516ECF"/>
    <w:rPr>
      <w:color w:val="0563C1" w:themeColor="hyperlink"/>
      <w:u w:val="single"/>
    </w:rPr>
  </w:style>
  <w:style w:type="character" w:customStyle="1" w:styleId="Heading2Char">
    <w:name w:val="Heading 2 Char"/>
    <w:basedOn w:val="DefaultParagraphFont"/>
    <w:link w:val="Heading2"/>
    <w:uiPriority w:val="9"/>
    <w:rsid w:val="00516EC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516ECF"/>
    <w:pPr>
      <w:ind w:left="720"/>
    </w:pPr>
  </w:style>
  <w:style w:type="character" w:customStyle="1" w:styleId="ListParagraphChar">
    <w:name w:val="List Paragraph Char"/>
    <w:basedOn w:val="DefaultParagraphFont"/>
    <w:link w:val="ListParagraph"/>
    <w:uiPriority w:val="34"/>
    <w:rsid w:val="00516ECF"/>
    <w:rPr>
      <w:rFonts w:ascii="Arial" w:eastAsia="Times New Roman" w:hAnsi="Arial" w:cs="Times New Roman"/>
      <w:sz w:val="20"/>
      <w:szCs w:val="24"/>
    </w:rPr>
  </w:style>
  <w:style w:type="character" w:customStyle="1" w:styleId="fontstyle01">
    <w:name w:val="fontstyle01"/>
    <w:basedOn w:val="DefaultParagraphFont"/>
    <w:rsid w:val="00516ECF"/>
    <w:rPr>
      <w:rFonts w:ascii="Garamond" w:hAnsi="Garamond" w:hint="default"/>
      <w:b w:val="0"/>
      <w:bCs w:val="0"/>
      <w:i w:val="0"/>
      <w:iCs w:val="0"/>
      <w:color w:val="000000"/>
      <w:sz w:val="22"/>
      <w:szCs w:val="22"/>
    </w:rPr>
  </w:style>
  <w:style w:type="paragraph" w:customStyle="1" w:styleId="legclearfix2">
    <w:name w:val="legclearfix2"/>
    <w:basedOn w:val="Normal"/>
    <w:rsid w:val="00E306D3"/>
    <w:pPr>
      <w:shd w:val="clear" w:color="auto" w:fill="FFFFFF"/>
      <w:spacing w:after="120" w:line="360" w:lineRule="atLeast"/>
    </w:pPr>
    <w:rPr>
      <w:rFonts w:ascii="Times New Roman" w:eastAsiaTheme="minorHAnsi" w:hAnsi="Times New Roman"/>
      <w:color w:val="494949"/>
      <w:sz w:val="19"/>
      <w:szCs w:val="19"/>
      <w:lang w:eastAsia="en-GB"/>
    </w:rPr>
  </w:style>
  <w:style w:type="paragraph" w:customStyle="1" w:styleId="NumberedList1">
    <w:name w:val="Numbered List 1"/>
    <w:basedOn w:val="BodyText"/>
    <w:qFormat/>
    <w:rsid w:val="002B3C10"/>
    <w:pPr>
      <w:numPr>
        <w:ilvl w:val="1"/>
        <w:numId w:val="8"/>
      </w:numPr>
      <w:spacing w:before="240" w:after="240"/>
    </w:pPr>
  </w:style>
  <w:style w:type="paragraph" w:customStyle="1" w:styleId="NumberedList2">
    <w:name w:val="Numbered List 2"/>
    <w:basedOn w:val="NumberedList1"/>
    <w:qFormat/>
    <w:rsid w:val="002B3C10"/>
    <w:pPr>
      <w:numPr>
        <w:ilvl w:val="2"/>
      </w:numPr>
    </w:pPr>
  </w:style>
  <w:style w:type="paragraph" w:customStyle="1" w:styleId="NumberedList3">
    <w:name w:val="Numbered List 3"/>
    <w:basedOn w:val="NumberedList2"/>
    <w:qFormat/>
    <w:rsid w:val="002B3C10"/>
    <w:pPr>
      <w:numPr>
        <w:ilvl w:val="3"/>
      </w:numPr>
    </w:pPr>
  </w:style>
  <w:style w:type="paragraph" w:customStyle="1" w:styleId="NumberedList4">
    <w:name w:val="Numbered List 4"/>
    <w:basedOn w:val="NumberedList3"/>
    <w:qFormat/>
    <w:rsid w:val="002B3C10"/>
    <w:pPr>
      <w:numPr>
        <w:ilvl w:val="4"/>
      </w:numPr>
    </w:pPr>
  </w:style>
  <w:style w:type="paragraph" w:customStyle="1" w:styleId="NumberedList5">
    <w:name w:val="Numbered List 5"/>
    <w:basedOn w:val="NumberedList4"/>
    <w:rsid w:val="002B3C10"/>
    <w:pPr>
      <w:numPr>
        <w:ilvl w:val="5"/>
      </w:numPr>
    </w:pPr>
  </w:style>
  <w:style w:type="paragraph" w:customStyle="1" w:styleId="NumberedList6">
    <w:name w:val="Numbered List 6"/>
    <w:basedOn w:val="NumberedList5"/>
    <w:rsid w:val="002B3C10"/>
    <w:pPr>
      <w:numPr>
        <w:ilvl w:val="6"/>
      </w:numPr>
    </w:pPr>
  </w:style>
  <w:style w:type="paragraph" w:customStyle="1" w:styleId="NumberedList7">
    <w:name w:val="Numbered List 7"/>
    <w:basedOn w:val="NumberedList6"/>
    <w:rsid w:val="002B3C10"/>
    <w:pPr>
      <w:numPr>
        <w:ilvl w:val="7"/>
      </w:numPr>
    </w:pPr>
  </w:style>
  <w:style w:type="paragraph" w:customStyle="1" w:styleId="NumberedList8">
    <w:name w:val="Numbered List 8"/>
    <w:basedOn w:val="NumberedList7"/>
    <w:rsid w:val="002B3C10"/>
    <w:pPr>
      <w:numPr>
        <w:ilvl w:val="8"/>
      </w:numPr>
    </w:pPr>
  </w:style>
  <w:style w:type="paragraph" w:styleId="NormalWeb">
    <w:name w:val="Normal (Web)"/>
    <w:basedOn w:val="Normal"/>
    <w:uiPriority w:val="99"/>
    <w:semiHidden/>
    <w:unhideWhenUsed/>
    <w:rsid w:val="00FC1B82"/>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6E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basedOn w:val="BulletList2"/>
    <w:qFormat/>
    <w:rsid w:val="006B3EB9"/>
  </w:style>
  <w:style w:type="paragraph" w:customStyle="1" w:styleId="BulletList2">
    <w:name w:val="Bullet List 2"/>
    <w:basedOn w:val="Normal"/>
    <w:qFormat/>
    <w:rsid w:val="006B3EB9"/>
    <w:pPr>
      <w:numPr>
        <w:ilvl w:val="1"/>
      </w:numPr>
      <w:spacing w:before="240" w:after="240"/>
    </w:pPr>
    <w:rPr>
      <w:szCs w:val="20"/>
    </w:rPr>
  </w:style>
  <w:style w:type="paragraph" w:customStyle="1" w:styleId="ProjectName">
    <w:name w:val="Project Name"/>
    <w:basedOn w:val="Normal"/>
    <w:rsid w:val="00F4494B"/>
    <w:pPr>
      <w:spacing w:after="180"/>
    </w:pPr>
    <w:rPr>
      <w:sz w:val="32"/>
    </w:rPr>
  </w:style>
  <w:style w:type="paragraph" w:customStyle="1" w:styleId="CompanyName">
    <w:name w:val="Company Name"/>
    <w:basedOn w:val="Normal"/>
    <w:rsid w:val="00F4494B"/>
    <w:rPr>
      <w:rFonts w:ascii="Arial Black" w:hAnsi="Arial Black"/>
      <w:color w:val="E65032"/>
      <w:sz w:val="44"/>
    </w:rPr>
  </w:style>
  <w:style w:type="paragraph" w:customStyle="1" w:styleId="ReportDate">
    <w:name w:val="Report Date"/>
    <w:basedOn w:val="Normal"/>
    <w:rsid w:val="00F4494B"/>
    <w:pPr>
      <w:spacing w:before="600"/>
    </w:pPr>
    <w:rPr>
      <w:sz w:val="22"/>
    </w:rPr>
  </w:style>
  <w:style w:type="paragraph" w:styleId="TOCHeading">
    <w:name w:val="TOC Heading"/>
    <w:basedOn w:val="Normal"/>
    <w:next w:val="Normal"/>
    <w:rsid w:val="00F4494B"/>
    <w:pPr>
      <w:spacing w:after="1728"/>
    </w:pPr>
    <w:rPr>
      <w:color w:val="E65032"/>
      <w:sz w:val="48"/>
      <w:szCs w:val="48"/>
    </w:rPr>
  </w:style>
  <w:style w:type="paragraph" w:styleId="TOC1">
    <w:name w:val="toc 1"/>
    <w:basedOn w:val="Normal"/>
    <w:next w:val="Normal"/>
    <w:uiPriority w:val="39"/>
    <w:rsid w:val="00F4494B"/>
    <w:pPr>
      <w:tabs>
        <w:tab w:val="right" w:leader="dot" w:pos="9072"/>
      </w:tabs>
      <w:spacing w:before="120" w:after="120"/>
      <w:ind w:right="567"/>
    </w:pPr>
    <w:rPr>
      <w:b/>
      <w:szCs w:val="20"/>
    </w:rPr>
  </w:style>
  <w:style w:type="paragraph" w:styleId="ListBullet">
    <w:name w:val="List Bullet"/>
    <w:basedOn w:val="Normal"/>
    <w:uiPriority w:val="99"/>
    <w:unhideWhenUsed/>
    <w:rsid w:val="001C79F9"/>
    <w:pPr>
      <w:numPr>
        <w:numId w:val="16"/>
      </w:numPr>
      <w:spacing w:after="160" w:line="259" w:lineRule="auto"/>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D73F96"/>
    <w:pPr>
      <w:tabs>
        <w:tab w:val="center" w:pos="4513"/>
        <w:tab w:val="right" w:pos="9026"/>
      </w:tabs>
    </w:pPr>
  </w:style>
  <w:style w:type="character" w:customStyle="1" w:styleId="HeaderChar">
    <w:name w:val="Header Char"/>
    <w:basedOn w:val="DefaultParagraphFont"/>
    <w:link w:val="Header"/>
    <w:uiPriority w:val="99"/>
    <w:rsid w:val="00D73F96"/>
    <w:rPr>
      <w:rFonts w:ascii="Arial" w:eastAsia="Times New Roman" w:hAnsi="Arial" w:cs="Times New Roman"/>
      <w:sz w:val="20"/>
      <w:szCs w:val="24"/>
    </w:rPr>
  </w:style>
  <w:style w:type="paragraph" w:styleId="Footer">
    <w:name w:val="footer"/>
    <w:basedOn w:val="Normal"/>
    <w:link w:val="FooterChar"/>
    <w:uiPriority w:val="99"/>
    <w:unhideWhenUsed/>
    <w:rsid w:val="00D73F96"/>
    <w:pPr>
      <w:tabs>
        <w:tab w:val="center" w:pos="4513"/>
        <w:tab w:val="right" w:pos="9026"/>
      </w:tabs>
    </w:pPr>
  </w:style>
  <w:style w:type="character" w:customStyle="1" w:styleId="FooterChar">
    <w:name w:val="Footer Char"/>
    <w:basedOn w:val="DefaultParagraphFont"/>
    <w:link w:val="Footer"/>
    <w:uiPriority w:val="99"/>
    <w:rsid w:val="00D73F96"/>
    <w:rPr>
      <w:rFonts w:ascii="Arial" w:eastAsia="Times New Roman" w:hAnsi="Arial" w:cs="Times New Roman"/>
      <w:sz w:val="20"/>
      <w:szCs w:val="24"/>
    </w:rPr>
  </w:style>
  <w:style w:type="character" w:customStyle="1" w:styleId="Heading9Char">
    <w:name w:val="Heading 9 Char"/>
    <w:basedOn w:val="DefaultParagraphFont"/>
    <w:link w:val="Heading9"/>
    <w:rsid w:val="001204C2"/>
    <w:rPr>
      <w:rFonts w:asciiTheme="majorHAnsi" w:eastAsia="Times New Roman" w:hAnsiTheme="majorHAnsi" w:cs="Arial"/>
      <w:b/>
      <w:iCs/>
      <w:kern w:val="32"/>
      <w:sz w:val="24"/>
    </w:rPr>
  </w:style>
  <w:style w:type="numbering" w:customStyle="1" w:styleId="Heading">
    <w:name w:val="Heading"/>
    <w:basedOn w:val="NoList"/>
    <w:uiPriority w:val="99"/>
    <w:rsid w:val="001204C2"/>
    <w:pPr>
      <w:numPr>
        <w:numId w:val="20"/>
      </w:numPr>
    </w:pPr>
  </w:style>
  <w:style w:type="character" w:styleId="UnresolvedMention">
    <w:name w:val="Unresolved Mention"/>
    <w:basedOn w:val="DefaultParagraphFont"/>
    <w:uiPriority w:val="99"/>
    <w:semiHidden/>
    <w:unhideWhenUsed/>
    <w:rsid w:val="00604948"/>
    <w:rPr>
      <w:color w:val="605E5C"/>
      <w:shd w:val="clear" w:color="auto" w:fill="E1DFDD"/>
    </w:rPr>
  </w:style>
  <w:style w:type="character" w:styleId="FollowedHyperlink">
    <w:name w:val="FollowedHyperlink"/>
    <w:basedOn w:val="DefaultParagraphFont"/>
    <w:uiPriority w:val="99"/>
    <w:semiHidden/>
    <w:unhideWhenUsed/>
    <w:rsid w:val="00552CA1"/>
    <w:rPr>
      <w:color w:val="954F72" w:themeColor="followedHyperlink"/>
      <w:u w:val="single"/>
    </w:rPr>
  </w:style>
  <w:style w:type="paragraph" w:customStyle="1" w:styleId="BulletList1">
    <w:name w:val="Bullet List 1"/>
    <w:basedOn w:val="Normal"/>
    <w:qFormat/>
    <w:rsid w:val="00552CA1"/>
    <w:pPr>
      <w:tabs>
        <w:tab w:val="num" w:pos="460"/>
      </w:tabs>
      <w:spacing w:before="240" w:after="240"/>
      <w:ind w:left="460" w:hanging="460"/>
    </w:pPr>
    <w:rPr>
      <w:szCs w:val="20"/>
    </w:rPr>
  </w:style>
  <w:style w:type="paragraph" w:customStyle="1" w:styleId="BulletList4">
    <w:name w:val="Bullet List 4"/>
    <w:basedOn w:val="BulletList3"/>
    <w:qFormat/>
    <w:rsid w:val="00552CA1"/>
    <w:pPr>
      <w:numPr>
        <w:ilvl w:val="0"/>
      </w:numPr>
      <w:tabs>
        <w:tab w:val="num" w:pos="1820"/>
      </w:tabs>
      <w:ind w:left="1820" w:hanging="460"/>
    </w:pPr>
  </w:style>
  <w:style w:type="paragraph" w:customStyle="1" w:styleId="BulletList5">
    <w:name w:val="Bullet List 5"/>
    <w:basedOn w:val="BulletList4"/>
    <w:rsid w:val="00552CA1"/>
    <w:pPr>
      <w:tabs>
        <w:tab w:val="clear" w:pos="1820"/>
        <w:tab w:val="num" w:pos="0"/>
      </w:tabs>
      <w:ind w:left="0" w:firstLine="0"/>
    </w:pPr>
  </w:style>
  <w:style w:type="paragraph" w:customStyle="1" w:styleId="BulletList6">
    <w:name w:val="Bullet List 6"/>
    <w:basedOn w:val="BulletList5"/>
    <w:rsid w:val="00552CA1"/>
  </w:style>
  <w:style w:type="paragraph" w:customStyle="1" w:styleId="BulletList7">
    <w:name w:val="Bullet List 7"/>
    <w:basedOn w:val="BulletList6"/>
    <w:rsid w:val="00552CA1"/>
  </w:style>
  <w:style w:type="paragraph" w:customStyle="1" w:styleId="BulletList8">
    <w:name w:val="Bullet List 8"/>
    <w:basedOn w:val="BulletList7"/>
    <w:rsid w:val="00552CA1"/>
  </w:style>
  <w:style w:type="paragraph" w:customStyle="1" w:styleId="BulletList9">
    <w:name w:val="Bullet List 9"/>
    <w:basedOn w:val="BulletList8"/>
    <w:rsid w:val="00552CA1"/>
  </w:style>
  <w:style w:type="paragraph" w:styleId="Revision">
    <w:name w:val="Revision"/>
    <w:hidden/>
    <w:uiPriority w:val="99"/>
    <w:semiHidden/>
    <w:rsid w:val="00C439D4"/>
    <w:pPr>
      <w:spacing w:after="0" w:line="240" w:lineRule="auto"/>
    </w:pPr>
    <w:rPr>
      <w:rFonts w:ascii="Arial" w:eastAsia="Times New Roman" w:hAnsi="Arial" w:cs="Times New Roman"/>
      <w:sz w:val="20"/>
      <w:szCs w:val="24"/>
    </w:rPr>
  </w:style>
  <w:style w:type="paragraph" w:customStyle="1" w:styleId="OutlineNum2">
    <w:name w:val="Outline Num 2"/>
    <w:basedOn w:val="Normal"/>
    <w:uiPriority w:val="99"/>
    <w:rsid w:val="00DF672A"/>
    <w:pPr>
      <w:numPr>
        <w:ilvl w:val="1"/>
        <w:numId w:val="49"/>
      </w:numPr>
      <w:spacing w:after="240"/>
      <w:outlineLvl w:val="1"/>
    </w:pPr>
    <w:rPr>
      <w:rFonts w:ascii="Times New Roman" w:hAnsi="Times New Roman"/>
      <w:sz w:val="24"/>
      <w:lang w:eastAsia="en-GB"/>
    </w:rPr>
  </w:style>
  <w:style w:type="paragraph" w:customStyle="1" w:styleId="OutlineNum3">
    <w:name w:val="Outline Num 3"/>
    <w:basedOn w:val="Normal"/>
    <w:uiPriority w:val="99"/>
    <w:rsid w:val="00DF672A"/>
    <w:pPr>
      <w:numPr>
        <w:ilvl w:val="2"/>
        <w:numId w:val="49"/>
      </w:numPr>
      <w:spacing w:after="240"/>
      <w:outlineLvl w:val="2"/>
    </w:pPr>
    <w:rPr>
      <w:rFonts w:ascii="Times New Roman" w:hAnsi="Times New Roman"/>
      <w:sz w:val="24"/>
      <w:lang w:eastAsia="en-GB"/>
    </w:rPr>
  </w:style>
  <w:style w:type="paragraph" w:customStyle="1" w:styleId="OutlineNum">
    <w:name w:val="Outline Num"/>
    <w:basedOn w:val="Normal"/>
    <w:next w:val="OutlineNum2"/>
    <w:uiPriority w:val="99"/>
    <w:rsid w:val="00DF672A"/>
    <w:pPr>
      <w:numPr>
        <w:numId w:val="49"/>
      </w:numPr>
      <w:spacing w:after="240"/>
    </w:pPr>
    <w:rPr>
      <w:rFonts w:cs="Arial"/>
      <w:b/>
      <w:bCs/>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286">
      <w:bodyDiv w:val="1"/>
      <w:marLeft w:val="0"/>
      <w:marRight w:val="0"/>
      <w:marTop w:val="0"/>
      <w:marBottom w:val="0"/>
      <w:divBdr>
        <w:top w:val="none" w:sz="0" w:space="0" w:color="auto"/>
        <w:left w:val="none" w:sz="0" w:space="0" w:color="auto"/>
        <w:bottom w:val="none" w:sz="0" w:space="0" w:color="auto"/>
        <w:right w:val="none" w:sz="0" w:space="0" w:color="auto"/>
      </w:divBdr>
    </w:div>
    <w:div w:id="299768638">
      <w:bodyDiv w:val="1"/>
      <w:marLeft w:val="0"/>
      <w:marRight w:val="0"/>
      <w:marTop w:val="0"/>
      <w:marBottom w:val="0"/>
      <w:divBdr>
        <w:top w:val="none" w:sz="0" w:space="0" w:color="auto"/>
        <w:left w:val="none" w:sz="0" w:space="0" w:color="auto"/>
        <w:bottom w:val="none" w:sz="0" w:space="0" w:color="auto"/>
        <w:right w:val="none" w:sz="0" w:space="0" w:color="auto"/>
      </w:divBdr>
    </w:div>
    <w:div w:id="433744772">
      <w:bodyDiv w:val="1"/>
      <w:marLeft w:val="0"/>
      <w:marRight w:val="0"/>
      <w:marTop w:val="0"/>
      <w:marBottom w:val="0"/>
      <w:divBdr>
        <w:top w:val="none" w:sz="0" w:space="0" w:color="auto"/>
        <w:left w:val="none" w:sz="0" w:space="0" w:color="auto"/>
        <w:bottom w:val="none" w:sz="0" w:space="0" w:color="auto"/>
        <w:right w:val="none" w:sz="0" w:space="0" w:color="auto"/>
      </w:divBdr>
    </w:div>
    <w:div w:id="440564809">
      <w:bodyDiv w:val="1"/>
      <w:marLeft w:val="0"/>
      <w:marRight w:val="0"/>
      <w:marTop w:val="0"/>
      <w:marBottom w:val="0"/>
      <w:divBdr>
        <w:top w:val="none" w:sz="0" w:space="0" w:color="auto"/>
        <w:left w:val="none" w:sz="0" w:space="0" w:color="auto"/>
        <w:bottom w:val="none" w:sz="0" w:space="0" w:color="auto"/>
        <w:right w:val="none" w:sz="0" w:space="0" w:color="auto"/>
      </w:divBdr>
    </w:div>
    <w:div w:id="455417626">
      <w:bodyDiv w:val="1"/>
      <w:marLeft w:val="0"/>
      <w:marRight w:val="0"/>
      <w:marTop w:val="0"/>
      <w:marBottom w:val="0"/>
      <w:divBdr>
        <w:top w:val="none" w:sz="0" w:space="0" w:color="auto"/>
        <w:left w:val="none" w:sz="0" w:space="0" w:color="auto"/>
        <w:bottom w:val="none" w:sz="0" w:space="0" w:color="auto"/>
        <w:right w:val="none" w:sz="0" w:space="0" w:color="auto"/>
      </w:divBdr>
    </w:div>
    <w:div w:id="480537144">
      <w:bodyDiv w:val="1"/>
      <w:marLeft w:val="0"/>
      <w:marRight w:val="0"/>
      <w:marTop w:val="0"/>
      <w:marBottom w:val="0"/>
      <w:divBdr>
        <w:top w:val="none" w:sz="0" w:space="0" w:color="auto"/>
        <w:left w:val="none" w:sz="0" w:space="0" w:color="auto"/>
        <w:bottom w:val="none" w:sz="0" w:space="0" w:color="auto"/>
        <w:right w:val="none" w:sz="0" w:space="0" w:color="auto"/>
      </w:divBdr>
    </w:div>
    <w:div w:id="633414261">
      <w:bodyDiv w:val="1"/>
      <w:marLeft w:val="0"/>
      <w:marRight w:val="0"/>
      <w:marTop w:val="0"/>
      <w:marBottom w:val="0"/>
      <w:divBdr>
        <w:top w:val="none" w:sz="0" w:space="0" w:color="auto"/>
        <w:left w:val="none" w:sz="0" w:space="0" w:color="auto"/>
        <w:bottom w:val="none" w:sz="0" w:space="0" w:color="auto"/>
        <w:right w:val="none" w:sz="0" w:space="0" w:color="auto"/>
      </w:divBdr>
    </w:div>
    <w:div w:id="727844570">
      <w:bodyDiv w:val="1"/>
      <w:marLeft w:val="0"/>
      <w:marRight w:val="0"/>
      <w:marTop w:val="0"/>
      <w:marBottom w:val="0"/>
      <w:divBdr>
        <w:top w:val="none" w:sz="0" w:space="0" w:color="auto"/>
        <w:left w:val="none" w:sz="0" w:space="0" w:color="auto"/>
        <w:bottom w:val="none" w:sz="0" w:space="0" w:color="auto"/>
        <w:right w:val="none" w:sz="0" w:space="0" w:color="auto"/>
      </w:divBdr>
    </w:div>
    <w:div w:id="774522405">
      <w:bodyDiv w:val="1"/>
      <w:marLeft w:val="0"/>
      <w:marRight w:val="0"/>
      <w:marTop w:val="0"/>
      <w:marBottom w:val="0"/>
      <w:divBdr>
        <w:top w:val="none" w:sz="0" w:space="0" w:color="auto"/>
        <w:left w:val="none" w:sz="0" w:space="0" w:color="auto"/>
        <w:bottom w:val="none" w:sz="0" w:space="0" w:color="auto"/>
        <w:right w:val="none" w:sz="0" w:space="0" w:color="auto"/>
      </w:divBdr>
    </w:div>
    <w:div w:id="843711160">
      <w:bodyDiv w:val="1"/>
      <w:marLeft w:val="0"/>
      <w:marRight w:val="0"/>
      <w:marTop w:val="0"/>
      <w:marBottom w:val="0"/>
      <w:divBdr>
        <w:top w:val="none" w:sz="0" w:space="0" w:color="auto"/>
        <w:left w:val="none" w:sz="0" w:space="0" w:color="auto"/>
        <w:bottom w:val="none" w:sz="0" w:space="0" w:color="auto"/>
        <w:right w:val="none" w:sz="0" w:space="0" w:color="auto"/>
      </w:divBdr>
    </w:div>
    <w:div w:id="982008081">
      <w:bodyDiv w:val="1"/>
      <w:marLeft w:val="0"/>
      <w:marRight w:val="0"/>
      <w:marTop w:val="0"/>
      <w:marBottom w:val="0"/>
      <w:divBdr>
        <w:top w:val="none" w:sz="0" w:space="0" w:color="auto"/>
        <w:left w:val="none" w:sz="0" w:space="0" w:color="auto"/>
        <w:bottom w:val="none" w:sz="0" w:space="0" w:color="auto"/>
        <w:right w:val="none" w:sz="0" w:space="0" w:color="auto"/>
      </w:divBdr>
    </w:div>
    <w:div w:id="1237588785">
      <w:bodyDiv w:val="1"/>
      <w:marLeft w:val="0"/>
      <w:marRight w:val="0"/>
      <w:marTop w:val="0"/>
      <w:marBottom w:val="0"/>
      <w:divBdr>
        <w:top w:val="none" w:sz="0" w:space="0" w:color="auto"/>
        <w:left w:val="none" w:sz="0" w:space="0" w:color="auto"/>
        <w:bottom w:val="none" w:sz="0" w:space="0" w:color="auto"/>
        <w:right w:val="none" w:sz="0" w:space="0" w:color="auto"/>
      </w:divBdr>
    </w:div>
    <w:div w:id="1364016870">
      <w:bodyDiv w:val="1"/>
      <w:marLeft w:val="0"/>
      <w:marRight w:val="0"/>
      <w:marTop w:val="0"/>
      <w:marBottom w:val="0"/>
      <w:divBdr>
        <w:top w:val="none" w:sz="0" w:space="0" w:color="auto"/>
        <w:left w:val="none" w:sz="0" w:space="0" w:color="auto"/>
        <w:bottom w:val="none" w:sz="0" w:space="0" w:color="auto"/>
        <w:right w:val="none" w:sz="0" w:space="0" w:color="auto"/>
      </w:divBdr>
    </w:div>
    <w:div w:id="1383751391">
      <w:bodyDiv w:val="1"/>
      <w:marLeft w:val="0"/>
      <w:marRight w:val="0"/>
      <w:marTop w:val="0"/>
      <w:marBottom w:val="0"/>
      <w:divBdr>
        <w:top w:val="none" w:sz="0" w:space="0" w:color="auto"/>
        <w:left w:val="none" w:sz="0" w:space="0" w:color="auto"/>
        <w:bottom w:val="none" w:sz="0" w:space="0" w:color="auto"/>
        <w:right w:val="none" w:sz="0" w:space="0" w:color="auto"/>
      </w:divBdr>
    </w:div>
    <w:div w:id="1496913508">
      <w:bodyDiv w:val="1"/>
      <w:marLeft w:val="0"/>
      <w:marRight w:val="0"/>
      <w:marTop w:val="0"/>
      <w:marBottom w:val="0"/>
      <w:divBdr>
        <w:top w:val="none" w:sz="0" w:space="0" w:color="auto"/>
        <w:left w:val="none" w:sz="0" w:space="0" w:color="auto"/>
        <w:bottom w:val="none" w:sz="0" w:space="0" w:color="auto"/>
        <w:right w:val="none" w:sz="0" w:space="0" w:color="auto"/>
      </w:divBdr>
      <w:divsChild>
        <w:div w:id="133332523">
          <w:marLeft w:val="446"/>
          <w:marRight w:val="0"/>
          <w:marTop w:val="0"/>
          <w:marBottom w:val="0"/>
          <w:divBdr>
            <w:top w:val="none" w:sz="0" w:space="0" w:color="auto"/>
            <w:left w:val="none" w:sz="0" w:space="0" w:color="auto"/>
            <w:bottom w:val="none" w:sz="0" w:space="0" w:color="auto"/>
            <w:right w:val="none" w:sz="0" w:space="0" w:color="auto"/>
          </w:divBdr>
        </w:div>
      </w:divsChild>
    </w:div>
    <w:div w:id="1905097380">
      <w:bodyDiv w:val="1"/>
      <w:marLeft w:val="0"/>
      <w:marRight w:val="0"/>
      <w:marTop w:val="0"/>
      <w:marBottom w:val="0"/>
      <w:divBdr>
        <w:top w:val="none" w:sz="0" w:space="0" w:color="auto"/>
        <w:left w:val="none" w:sz="0" w:space="0" w:color="auto"/>
        <w:bottom w:val="none" w:sz="0" w:space="0" w:color="auto"/>
        <w:right w:val="none" w:sz="0" w:space="0" w:color="auto"/>
      </w:divBdr>
    </w:div>
    <w:div w:id="2019232312">
      <w:bodyDiv w:val="1"/>
      <w:marLeft w:val="0"/>
      <w:marRight w:val="0"/>
      <w:marTop w:val="0"/>
      <w:marBottom w:val="0"/>
      <w:divBdr>
        <w:top w:val="none" w:sz="0" w:space="0" w:color="auto"/>
        <w:left w:val="none" w:sz="0" w:space="0" w:color="auto"/>
        <w:bottom w:val="none" w:sz="0" w:space="0" w:color="auto"/>
        <w:right w:val="none" w:sz="0" w:space="0" w:color="auto"/>
      </w:divBdr>
      <w:divsChild>
        <w:div w:id="177499701">
          <w:marLeft w:val="360"/>
          <w:marRight w:val="0"/>
          <w:marTop w:val="0"/>
          <w:marBottom w:val="0"/>
          <w:divBdr>
            <w:top w:val="none" w:sz="0" w:space="0" w:color="auto"/>
            <w:left w:val="none" w:sz="0" w:space="0" w:color="auto"/>
            <w:bottom w:val="none" w:sz="0" w:space="0" w:color="auto"/>
            <w:right w:val="none" w:sz="0" w:space="0" w:color="auto"/>
          </w:divBdr>
        </w:div>
        <w:div w:id="746148490">
          <w:marLeft w:val="360"/>
          <w:marRight w:val="0"/>
          <w:marTop w:val="0"/>
          <w:marBottom w:val="0"/>
          <w:divBdr>
            <w:top w:val="none" w:sz="0" w:space="0" w:color="auto"/>
            <w:left w:val="none" w:sz="0" w:space="0" w:color="auto"/>
            <w:bottom w:val="none" w:sz="0" w:space="0" w:color="auto"/>
            <w:right w:val="none" w:sz="0" w:space="0" w:color="auto"/>
          </w:divBdr>
        </w:div>
        <w:div w:id="966739616">
          <w:marLeft w:val="360"/>
          <w:marRight w:val="0"/>
          <w:marTop w:val="0"/>
          <w:marBottom w:val="0"/>
          <w:divBdr>
            <w:top w:val="none" w:sz="0" w:space="0" w:color="auto"/>
            <w:left w:val="none" w:sz="0" w:space="0" w:color="auto"/>
            <w:bottom w:val="none" w:sz="0" w:space="0" w:color="auto"/>
            <w:right w:val="none" w:sz="0" w:space="0" w:color="auto"/>
          </w:divBdr>
        </w:div>
        <w:div w:id="1014770847">
          <w:marLeft w:val="360"/>
          <w:marRight w:val="0"/>
          <w:marTop w:val="0"/>
          <w:marBottom w:val="0"/>
          <w:divBdr>
            <w:top w:val="none" w:sz="0" w:space="0" w:color="auto"/>
            <w:left w:val="none" w:sz="0" w:space="0" w:color="auto"/>
            <w:bottom w:val="none" w:sz="0" w:space="0" w:color="auto"/>
            <w:right w:val="none" w:sz="0" w:space="0" w:color="auto"/>
          </w:divBdr>
        </w:div>
        <w:div w:id="1053040819">
          <w:marLeft w:val="360"/>
          <w:marRight w:val="0"/>
          <w:marTop w:val="0"/>
          <w:marBottom w:val="0"/>
          <w:divBdr>
            <w:top w:val="none" w:sz="0" w:space="0" w:color="auto"/>
            <w:left w:val="none" w:sz="0" w:space="0" w:color="auto"/>
            <w:bottom w:val="none" w:sz="0" w:space="0" w:color="auto"/>
            <w:right w:val="none" w:sz="0" w:space="0" w:color="auto"/>
          </w:divBdr>
        </w:div>
        <w:div w:id="1551914111">
          <w:marLeft w:val="360"/>
          <w:marRight w:val="0"/>
          <w:marTop w:val="0"/>
          <w:marBottom w:val="0"/>
          <w:divBdr>
            <w:top w:val="none" w:sz="0" w:space="0" w:color="auto"/>
            <w:left w:val="none" w:sz="0" w:space="0" w:color="auto"/>
            <w:bottom w:val="none" w:sz="0" w:space="0" w:color="auto"/>
            <w:right w:val="none" w:sz="0" w:space="0" w:color="auto"/>
          </w:divBdr>
        </w:div>
      </w:divsChild>
    </w:div>
    <w:div w:id="2035963586">
      <w:bodyDiv w:val="1"/>
      <w:marLeft w:val="0"/>
      <w:marRight w:val="0"/>
      <w:marTop w:val="0"/>
      <w:marBottom w:val="0"/>
      <w:divBdr>
        <w:top w:val="none" w:sz="0" w:space="0" w:color="auto"/>
        <w:left w:val="none" w:sz="0" w:space="0" w:color="auto"/>
        <w:bottom w:val="none" w:sz="0" w:space="0" w:color="auto"/>
        <w:right w:val="none" w:sz="0" w:space="0" w:color="auto"/>
      </w:divBdr>
    </w:div>
    <w:div w:id="2091609716">
      <w:bodyDiv w:val="1"/>
      <w:marLeft w:val="0"/>
      <w:marRight w:val="0"/>
      <w:marTop w:val="0"/>
      <w:marBottom w:val="0"/>
      <w:divBdr>
        <w:top w:val="none" w:sz="0" w:space="0" w:color="auto"/>
        <w:left w:val="none" w:sz="0" w:space="0" w:color="auto"/>
        <w:bottom w:val="none" w:sz="0" w:space="0" w:color="auto"/>
        <w:right w:val="none" w:sz="0" w:space="0" w:color="auto"/>
      </w:divBdr>
    </w:div>
    <w:div w:id="20993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limateaction100.wordpr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CT_PreparedBy xmlns="e3af3928-72d3-4b8a-b86b-2250b2499d03">
      <UserInfo>
        <DisplayName>INTERNAL\daria607</DisplayName>
        <AccountId>240</AccountId>
        <AccountType/>
      </UserInfo>
    </TCT_PreparedBy>
    <Quarter xmlns="f47d275e-5dea-4e38-bd4a-30157de5aff1">Q1</Quarter>
    <TCT_PersonalHealthInformation xmlns="e3af3928-72d3-4b8a-b86b-2250b2499d03">No</TCT_PersonalHealthInformation>
    <TCT_PreparedDate xmlns="e3af3928-72d3-4b8a-b86b-2250b2499d03">2021-01-12T00:00:00+00:00</TCT_PreparedDate>
    <TCT_TechnicalReviewerRequired xmlns="e3af3928-72d3-4b8a-b86b-2250b2499d03">false</TCT_TechnicalReviewerRequired>
    <TCT_EditorialReviewerRequired xmlns="e3af3928-72d3-4b8a-b86b-2250b2499d03">false</TCT_EditorialReviewerRequired>
    <Sent_x0020_to_x0020_Client xmlns="f47d275e-5dea-4e38-bd4a-30157de5aff1">
      <Value>No</Value>
    </Sent_x0020_to_x0020_Client>
    <TCT_PreparedByRequired xmlns="e3af3928-72d3-4b8a-b86b-2250b2499d03">false</TCT_PreparedByRequired>
    <TCT_EditorialReviewer xmlns="e3af3928-72d3-4b8a-b86b-2250b2499d03">
      <UserInfo>
        <DisplayName/>
        <AccountId xsi:nil="true"/>
        <AccountType/>
      </UserInfo>
    </TCT_EditorialReviewer>
    <TCT_WorkReviewComments xmlns="e3af3928-72d3-4b8a-b86b-2250b2499d03" xsi:nil="true"/>
    <Report_x0020_Type xmlns="f47d275e-5dea-4e38-bd4a-30157de5aff1">BLANK</Report_x0020_Type>
    <TCT_TechnicalReviewApprovalDate xmlns="e3af3928-72d3-4b8a-b86b-2250b2499d03">2021-01-12T00:00:00+00:00</TCT_TechnicalReviewApprovalDate>
    <TCT_SeniorPeerReviewerRequired xmlns="e3af3928-72d3-4b8a-b86b-2250b2499d03">false</TCT_SeniorPeerReviewerRequired>
    <TCT_ConsultingReviewer xmlns="e3af3928-72d3-4b8a-b86b-2250b2499d03">
      <UserInfo>
        <DisplayName>INTERNAL\matth734</DisplayName>
        <AccountId>159</AccountId>
        <AccountType/>
      </UserInfo>
    </TCT_ConsultingReviewer>
    <TCT_ProjectPhase xmlns="e3af3928-72d3-4b8a-b86b-2250b2499d03" xsi:nil="true"/>
    <TCT_WorkDocumentReviewStatus xmlns="e3af3928-72d3-4b8a-b86b-2250b2499d03" xsi:nil="true"/>
    <TCT_TechnicalReviewer xmlns="e3af3928-72d3-4b8a-b86b-2250b2499d03">
      <UserInfo>
        <DisplayName>INTERNAL\natas188</DisplayName>
        <AccountId>323</AccountId>
        <AccountType/>
      </UserInfo>
    </TCT_TechnicalReviewer>
    <TCT_SeniorPeerReviewer xmlns="e3af3928-72d3-4b8a-b86b-2250b2499d03">
      <UserInfo>
        <DisplayName/>
        <AccountId xsi:nil="true"/>
        <AccountType/>
      </UserInfo>
    </TCT_SeniorPeerReviewer>
    <TCT_ConsultingReviewerRequired xmlns="e3af3928-72d3-4b8a-b86b-2250b2499d03">false</TCT_ConsultingReviewerRequired>
    <TCT_EditorialReviewApprovalDate xmlns="e3af3928-72d3-4b8a-b86b-2250b2499d03" xsi:nil="true"/>
    <TCT_SeniorPeerReviewApprovalDate xmlns="e3af3928-72d3-4b8a-b86b-2250b2499d03" xsi:nil="true"/>
    <TCT_ConsultingReviewApprovalDate xmlns="e3af3928-72d3-4b8a-b86b-2250b2499d03" xsi:nil="true"/>
    <TCT_PersonallyIdentifiableInformation xmlns="e3af3928-72d3-4b8a-b86b-2250b2499d03">No</TCT_PersonallyIdentifiableInformation>
    <TCT_ClientSpecialtyCode xmlns="e3af3928-72d3-4b8a-b86b-2250b2499d03" xsi:nil="true"/>
    <TCT_ClientSpecialty xmlns="e3af3928-72d3-4b8a-b86b-2250b2499d03" xsi:nil="true"/>
    <_dlc_ExpireDateSaved xmlns="http://schemas.microsoft.com/sharepoint/v3" xsi:nil="true"/>
    <_dlc_ExpireDate xmlns="http://schemas.microsoft.com/sharepoint/v3">2023-04-06T16:27:20+00:00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CT Client Project Document" ma:contentTypeID="0x010100725E60EF2E824CBB9F9F6219DD094B09A1B2C2D1002B3457C76814D34B800AF887C873F828" ma:contentTypeVersion="20" ma:contentTypeDescription="Create a new document." ma:contentTypeScope="" ma:versionID="48380cd92ef21bff33f2211d5777754c">
  <xsd:schema xmlns:xsd="http://www.w3.org/2001/XMLSchema" xmlns:xs="http://www.w3.org/2001/XMLSchema" xmlns:p="http://schemas.microsoft.com/office/2006/metadata/properties" xmlns:ns1="http://schemas.microsoft.com/sharepoint/v3" xmlns:ns2="e3af3928-72d3-4b8a-b86b-2250b2499d03" xmlns:ns3="f47d275e-5dea-4e38-bd4a-30157de5aff1" targetNamespace="http://schemas.microsoft.com/office/2006/metadata/properties" ma:root="true" ma:fieldsID="ded4aa757a0dbc90b4ea039eefe55be0" ns1:_="" ns2:_="" ns3:_="">
    <xsd:import namespace="http://schemas.microsoft.com/sharepoint/v3"/>
    <xsd:import namespace="e3af3928-72d3-4b8a-b86b-2250b2499d03"/>
    <xsd:import namespace="f47d275e-5dea-4e38-bd4a-30157de5aff1"/>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2:TCT_ClientSpecialty" minOccurs="0"/>
                <xsd:element ref="ns2:TCT_ClientSpecialtyCode" minOccurs="0"/>
                <xsd:element ref="ns2:TCT_WorkDocumentReviewStatus" minOccurs="0"/>
                <xsd:element ref="ns2:TCT_PreparedBy" minOccurs="0"/>
                <xsd:element ref="ns2:TCT_PreparedDate" minOccurs="0"/>
                <xsd:element ref="ns2:TCT_PreparedByRequired" minOccurs="0"/>
                <xsd:element ref="ns2:TCT_TechnicalReviewer" minOccurs="0"/>
                <xsd:element ref="ns2:TCT_TechnicalReviewApprovalDate" minOccurs="0"/>
                <xsd:element ref="ns2:TCT_TechnicalReviewerRequired" minOccurs="0"/>
                <xsd:element ref="ns2:TCT_WorkReviewComments" minOccurs="0"/>
                <xsd:element ref="ns2:TCT_ConsultingReviewer" minOccurs="0"/>
                <xsd:element ref="ns2:TCT_ConsultingReviewApprovalDate" minOccurs="0"/>
                <xsd:element ref="ns2:TCT_ConsultingReviewerRequired" minOccurs="0"/>
                <xsd:element ref="ns2:TCT_EditorialReviewer" minOccurs="0"/>
                <xsd:element ref="ns2:TCT_EditorialReviewApprovalDate" minOccurs="0"/>
                <xsd:element ref="ns2:TCT_EditorialReviewerRequired" minOccurs="0"/>
                <xsd:element ref="ns2:TCT_SeniorPeerReviewer" minOccurs="0"/>
                <xsd:element ref="ns2:TCT_SeniorPeerReviewApprovalDate" minOccurs="0"/>
                <xsd:element ref="ns2:TCT_SeniorPeerReviewerRequired" minOccurs="0"/>
                <xsd:element ref="ns1:_dlc_Exempt" minOccurs="0"/>
                <xsd:element ref="ns1:_dlc_ExpireDateSaved" minOccurs="0"/>
                <xsd:element ref="ns1:_dlc_ExpireDate" minOccurs="0"/>
                <xsd:element ref="ns3:Quarter"/>
                <xsd:element ref="ns3:Report_x0020_Type" minOccurs="0"/>
                <xsd:element ref="ns3:Sent_x0020_to_x0020_Clien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ProjectPhase" ma:index="10" nillable="true" ma:displayName="Project Phase" ma:internalName="TCT_ProjectPha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CT_ClientSpecialty" ma:index="11" nillable="true" ma:displayName="Client/Specialty" ma:default="The Midcounties Co-operative Pension Scheme-TR" ma:internalName="TCT_ClientSpecialty">
      <xsd:simpleType>
        <xsd:restriction base="dms:Text"/>
      </xsd:simpleType>
    </xsd:element>
    <xsd:element name="TCT_ClientSpecialtyCode" ma:index="12" nillable="true" ma:displayName="Client/Specialty Code" ma:default="672342" ma:internalName="TCT_ClientSpecialtyCode">
      <xsd:simpleType>
        <xsd:restriction base="dms:Text"/>
      </xsd:simpleType>
    </xsd:element>
    <xsd:element name="TCT_WorkDocumentReviewStatus" ma:index="13" nillable="true" ma:displayName="WR Required?" ma:internalName="TCT_WorkDocumentReviewStatus">
      <xsd:simpleType>
        <xsd:restriction base="dms:Choice">
          <xsd:enumeration value="Yes"/>
          <xsd:enumeration value="No"/>
        </xsd:restriction>
      </xsd:simpleType>
    </xsd:element>
    <xsd:element name="TCT_PreparedBy" ma:index="14" nillable="true" ma:displayName="Doer" ma:internalName="TCT_Prepar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PreparedDate" ma:index="15" nillable="true" ma:displayName="Doer Date" ma:format="DateOnly" ma:internalName="TCT_PreparedDate">
      <xsd:simpleType>
        <xsd:restriction base="dms:DateTime"/>
      </xsd:simpleType>
    </xsd:element>
    <xsd:element name="TCT_PreparedByRequired" ma:index="16" nillable="true" ma:displayName="Doer Not Req" ma:internalName="TCT_PreparedByRequired">
      <xsd:simpleType>
        <xsd:restriction base="dms:Boolean"/>
      </xsd:simpleType>
    </xsd:element>
    <xsd:element name="TCT_TechnicalReviewer" ma:index="17" nillable="true" ma:displayName="TR" ma:internalName="TCT_Technic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TechnicalReviewApprovalDate" ma:index="18" nillable="true" ma:displayName="TR Date" ma:format="DateOnly" ma:internalName="TCT_TechnicalReviewApprovalDate">
      <xsd:simpleType>
        <xsd:restriction base="dms:DateTime"/>
      </xsd:simpleType>
    </xsd:element>
    <xsd:element name="TCT_TechnicalReviewerRequired" ma:index="19" nillable="true" ma:displayName="TR Not Req" ma:internalName="TCT_TechnicalReviewerRequired">
      <xsd:simpleType>
        <xsd:restriction base="dms:Boolean"/>
      </xsd:simpleType>
    </xsd:element>
    <xsd:element name="TCT_WorkReviewComments" ma:index="20" nillable="true" ma:displayName="WR Comments" ma:internalName="TCT_WorkReviewComments">
      <xsd:simpleType>
        <xsd:restriction base="dms:Note">
          <xsd:maxLength value="255"/>
        </xsd:restriction>
      </xsd:simpleType>
    </xsd:element>
    <xsd:element name="TCT_ConsultingReviewer" ma:index="21" nillable="true" ma:displayName="CR" ma:internalName="TCT_Consulting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ConsultingReviewApprovalDate" ma:index="22" nillable="true" ma:displayName="CR Date" ma:format="DateOnly" ma:internalName="TCT_ConsultingReviewApprovalDate">
      <xsd:simpleType>
        <xsd:restriction base="dms:DateTime"/>
      </xsd:simpleType>
    </xsd:element>
    <xsd:element name="TCT_ConsultingReviewerRequired" ma:index="23" nillable="true" ma:displayName="CR Not Req" ma:internalName="TCT_ConsultingReviewerRequired">
      <xsd:simpleType>
        <xsd:restriction base="dms:Boolean"/>
      </xsd:simpleType>
    </xsd:element>
    <xsd:element name="TCT_EditorialReviewer" ma:index="24" nillable="true" ma:displayName="ER" ma:internalName="TCT_Editori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EditorialReviewApprovalDate" ma:index="25" nillable="true" ma:displayName="ER Date" ma:format="DateOnly" ma:internalName="TCT_EditorialReviewApprovalDate">
      <xsd:simpleType>
        <xsd:restriction base="dms:DateTime"/>
      </xsd:simpleType>
    </xsd:element>
    <xsd:element name="TCT_EditorialReviewerRequired" ma:index="26" nillable="true" ma:displayName="ER Not Req" ma:internalName="TCT_EditorialReviewerRequired">
      <xsd:simpleType>
        <xsd:restriction base="dms:Boolean"/>
      </xsd:simpleType>
    </xsd:element>
    <xsd:element name="TCT_SeniorPeerReviewer" ma:index="27" nillable="true" ma:displayName="SPR" ma:internalName="TCT_SeniorPeer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SeniorPeerReviewApprovalDate" ma:index="28" nillable="true" ma:displayName="SPR Date" ma:format="DateOnly" ma:internalName="TCT_SeniorPeerReviewApprovalDate">
      <xsd:simpleType>
        <xsd:restriction base="dms:DateTime"/>
      </xsd:simpleType>
    </xsd:element>
    <xsd:element name="TCT_SeniorPeerReviewerRequired" ma:index="29" nillable="true" ma:displayName="SPR Not Req" ma:internalName="TCT_SeniorPeerReviewerRequ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7d275e-5dea-4e38-bd4a-30157de5aff1" elementFormDefault="qualified">
    <xsd:import namespace="http://schemas.microsoft.com/office/2006/documentManagement/types"/>
    <xsd:import namespace="http://schemas.microsoft.com/office/infopath/2007/PartnerControls"/>
    <xsd:element name="Quarter" ma:index="33" ma:displayName="Quarter" ma:default="NA" ma:format="Dropdown" ma:internalName="Quarter">
      <xsd:simpleType>
        <xsd:restriction base="dms:Choice">
          <xsd:enumeration value="Q1"/>
          <xsd:enumeration value="Q2"/>
          <xsd:enumeration value="Q3"/>
          <xsd:enumeration value="Q4"/>
          <xsd:enumeration value="NA"/>
        </xsd:restriction>
      </xsd:simpleType>
    </xsd:element>
    <xsd:element name="Report_x0020_Type" ma:index="34" nillable="true" ma:displayName="Report Type" ma:default="BLANK" ma:format="Dropdown" ma:internalName="Report_x0020_Type">
      <xsd:simpleType>
        <xsd:restriction base="dms:Choice">
          <xsd:enumeration value="Performance"/>
          <xsd:enumeration value="Manager Search"/>
          <xsd:enumeration value="Flash"/>
          <xsd:enumeration value="DART Analysis"/>
          <xsd:enumeration value="Quantitave Analysis"/>
          <xsd:enumeration value="Compliance"/>
          <xsd:enumeration value="Operational"/>
          <xsd:enumeration value="Other"/>
          <xsd:enumeration value="BLANK"/>
        </xsd:restriction>
      </xsd:simpleType>
    </xsd:element>
    <xsd:element name="Sent_x0020_to_x0020_Client" ma:index="35" nillable="true" ma:displayName="Sent to Client" ma:internalName="Sent_x0020_to_x0020_Client" ma:requiredMultiChoice="tru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TCT Client Project Document</p:Name>
  <p:Description/>
  <p:Statement/>
  <p:PolicyItems>
    <p:PolicyItem featureId="Microsoft.Office.RecordsManagement.PolicyFeatures.Expiration" staticId="0x010100725E60EF2E824CBB9F9F6219DD094B09A1B2C2D1|-122337073" UniqueId="f2ab5f73-76ad-451e-a107-31c194aa308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6.xml><?xml version="1.0" encoding="utf-8"?>
<?mso-contentType ?>
<SharedContentType xmlns="Microsoft.SharePoint.Taxonomy.ContentTypeSync" SourceId="5d639306-5220-4f62-8b39-d9a537361609" ContentTypeId="0x010100725E60EF2E824CBB9F9F6219DD094B09A1B2C2D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C8F0-EDE2-4DA5-8CD6-AFF306357C7D}">
  <ds:schemaRefs>
    <ds:schemaRef ds:uri="http://schemas.microsoft.com/office/2006/metadata/properties"/>
    <ds:schemaRef ds:uri="http://schemas.microsoft.com/office/infopath/2007/PartnerControls"/>
    <ds:schemaRef ds:uri="e3af3928-72d3-4b8a-b86b-2250b2499d03"/>
    <ds:schemaRef ds:uri="f47d275e-5dea-4e38-bd4a-30157de5aff1"/>
    <ds:schemaRef ds:uri="http://schemas.microsoft.com/sharepoint/v3"/>
  </ds:schemaRefs>
</ds:datastoreItem>
</file>

<file path=customXml/itemProps2.xml><?xml version="1.0" encoding="utf-8"?>
<ds:datastoreItem xmlns:ds="http://schemas.openxmlformats.org/officeDocument/2006/customXml" ds:itemID="{AAD0EDE4-A892-48CE-8C71-D1A4C9BE29A2}">
  <ds:schemaRefs>
    <ds:schemaRef ds:uri="http://schemas.microsoft.com/sharepoint/v3/contenttype/forms"/>
  </ds:schemaRefs>
</ds:datastoreItem>
</file>

<file path=customXml/itemProps3.xml><?xml version="1.0" encoding="utf-8"?>
<ds:datastoreItem xmlns:ds="http://schemas.openxmlformats.org/officeDocument/2006/customXml" ds:itemID="{59563065-7075-473A-BF0D-071E192E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f3928-72d3-4b8a-b86b-2250b2499d03"/>
    <ds:schemaRef ds:uri="f47d275e-5dea-4e38-bd4a-30157de5a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2BCAE-F9E2-4AF4-AAAB-726AB962D7A4}">
  <ds:schemaRefs>
    <ds:schemaRef ds:uri="http://schemas.microsoft.com/sharepoint/events"/>
  </ds:schemaRefs>
</ds:datastoreItem>
</file>

<file path=customXml/itemProps5.xml><?xml version="1.0" encoding="utf-8"?>
<ds:datastoreItem xmlns:ds="http://schemas.openxmlformats.org/officeDocument/2006/customXml" ds:itemID="{78BBF6FF-013D-4B2E-B6DF-FB9B93989660}">
  <ds:schemaRefs>
    <ds:schemaRef ds:uri="office.server.policy"/>
  </ds:schemaRefs>
</ds:datastoreItem>
</file>

<file path=customXml/itemProps6.xml><?xml version="1.0" encoding="utf-8"?>
<ds:datastoreItem xmlns:ds="http://schemas.openxmlformats.org/officeDocument/2006/customXml" ds:itemID="{9CAB3A70-B5B7-44A4-B8A5-A1DD65CE4A0B}">
  <ds:schemaRefs>
    <ds:schemaRef ds:uri="Microsoft.SharePoint.Taxonomy.ContentTypeSync"/>
  </ds:schemaRefs>
</ds:datastoreItem>
</file>

<file path=customXml/itemProps7.xml><?xml version="1.0" encoding="utf-8"?>
<ds:datastoreItem xmlns:ds="http://schemas.openxmlformats.org/officeDocument/2006/customXml" ds:itemID="{01995A1F-F033-4007-A6BD-F3EFB7F9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2658</Words>
  <Characters>15157</Characters>
  <Application>Microsoft Office Word</Application>
  <DocSecurity>0</DocSecurity>
  <Lines>126</Lines>
  <Paragraphs>35</Paragraphs>
  <ScaleCrop>false</ScaleCrop>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Lisa (London)</dc:creator>
  <cp:keywords/>
  <dc:description/>
  <cp:lastModifiedBy>Helen Flint-Hill</cp:lastModifiedBy>
  <cp:revision>3</cp:revision>
  <cp:lastPrinted>2020-11-17T16:53:00Z</cp:lastPrinted>
  <dcterms:created xsi:type="dcterms:W3CDTF">2021-09-30T05:34:00Z</dcterms:created>
  <dcterms:modified xsi:type="dcterms:W3CDTF">2021-09-30T05:35:00Z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lisa.egan@towerswatson.com</vt:lpwstr>
  </property>
  <property fmtid="{D5CDD505-2E9C-101B-9397-08002B2CF9AE}" pid="5" name="MSIP_Label_9c700311-1b20-487f-9129-30717d50ca8e_SetDate">
    <vt:lpwstr>2020-07-28T20:21:11.9642425Z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75d3b68a-afc8-4214-b421-74f6d960b65d</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lisa.egan@towerswatson.com</vt:lpwstr>
  </property>
  <property fmtid="{D5CDD505-2E9C-101B-9397-08002B2CF9AE}" pid="13" name="MSIP_Label_d347b247-e90e-43a3-9d7b-004f14ae6873_SetDate">
    <vt:lpwstr>2020-07-28T20:21:11.9642425Z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75d3b68a-afc8-4214-b421-74f6d960b65d</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ContentTypeId">
    <vt:lpwstr>0x010100725E60EF2E824CBB9F9F6219DD094B09A1B2C2D1002B3457C76814D34B800AF887C873F828</vt:lpwstr>
  </property>
  <property fmtid="{D5CDD505-2E9C-101B-9397-08002B2CF9AE}" pid="20" name="_dlc_policyId">
    <vt:lpwstr>0x010100725E60EF2E824CBB9F9F6219DD094B09A1B2C2D1|-122337073</vt:lpwstr>
  </property>
  <property fmtid="{D5CDD505-2E9C-101B-9397-08002B2CF9AE}" pid="21"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